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47" w:rsidRDefault="00703447">
      <w:pPr>
        <w:rPr>
          <w:rFonts w:ascii="Arial Narrow" w:hAnsi="Arial Narrow"/>
          <w:color w:val="000000"/>
          <w:sz w:val="26"/>
          <w:szCs w:val="26"/>
        </w:rPr>
      </w:pPr>
    </w:p>
    <w:p w:rsidR="00703447" w:rsidRDefault="001254C7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Comisión de Patrimonio Histórico registró en 2025 su máxima actividad, con 280 actuaciones dictaminadas y 181 viviendas autorizadas</w:t>
      </w:r>
    </w:p>
    <w:p w:rsidR="00703447" w:rsidRDefault="00703447">
      <w:pPr>
        <w:rPr>
          <w:rFonts w:ascii="Arial Narrow" w:hAnsi="Arial Narrow"/>
          <w:b/>
          <w:bCs/>
          <w:sz w:val="40"/>
          <w:szCs w:val="40"/>
        </w:rPr>
      </w:pPr>
    </w:p>
    <w:p w:rsidR="00703447" w:rsidRDefault="001254C7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Agustín Muñoz  destaca que este dato certifica “que estamos ante una etapa de dinámico crecimiento y de recuperación </w:t>
      </w:r>
      <w:r>
        <w:rPr>
          <w:rFonts w:ascii="Arial Narrow" w:hAnsi="Arial Narrow"/>
          <w:sz w:val="36"/>
          <w:szCs w:val="36"/>
        </w:rPr>
        <w:t>integral del centro histórico”</w:t>
      </w:r>
    </w:p>
    <w:p w:rsidR="00703447" w:rsidRDefault="00703447">
      <w:pPr>
        <w:pStyle w:val="western"/>
        <w:jc w:val="both"/>
        <w:rPr>
          <w:rFonts w:eastAsia="NSimSun" w:cs="Alef"/>
          <w:b/>
          <w:bCs/>
          <w:spacing w:val="-2"/>
          <w:lang w:bidi="hi-IN"/>
        </w:rPr>
      </w:pPr>
    </w:p>
    <w:p w:rsidR="00703447" w:rsidRDefault="00703447">
      <w:pPr>
        <w:pStyle w:val="western"/>
        <w:jc w:val="both"/>
        <w:rPr>
          <w:rFonts w:eastAsia="NSimSun" w:cs="Alef"/>
          <w:b/>
          <w:bCs/>
          <w:spacing w:val="-2"/>
          <w:lang w:bidi="hi-IN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/>
          <w:bCs/>
          <w:spacing w:val="-2"/>
          <w:sz w:val="26"/>
          <w:szCs w:val="26"/>
          <w:lang w:bidi="hi-IN"/>
        </w:rPr>
        <w:t>17</w:t>
      </w:r>
      <w:bookmarkStart w:id="0" w:name="_GoBack"/>
      <w:bookmarkEnd w:id="0"/>
      <w:r>
        <w:rPr>
          <w:rFonts w:ascii="Arial Narrow" w:eastAsia="NSimSun" w:hAnsi="Arial Narrow" w:cs="Alef"/>
          <w:b/>
          <w:bCs/>
          <w:spacing w:val="-2"/>
          <w:sz w:val="26"/>
          <w:szCs w:val="26"/>
          <w:lang w:bidi="hi-IN"/>
        </w:rPr>
        <w:t xml:space="preserve"> de enero de 2026.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 xml:space="preserve"> </w:t>
      </w:r>
      <w:r>
        <w:rPr>
          <w:rFonts w:ascii="Arial Narrow" w:hAnsi="Arial Narrow"/>
          <w:sz w:val="26"/>
          <w:szCs w:val="26"/>
        </w:rPr>
        <w:t>La Comisión Local de Patrimonio Histórico informó el pasado año un total de 28</w:t>
      </w:r>
      <w:r>
        <w:rPr>
          <w:rFonts w:ascii="Arial Narrow" w:hAnsi="Arial Narrow"/>
          <w:sz w:val="26"/>
          <w:szCs w:val="26"/>
        </w:rPr>
        <w:t>0 actuaciones, la m</w:t>
      </w:r>
      <w:r>
        <w:rPr>
          <w:rFonts w:ascii="Arial Narrow" w:hAnsi="Arial Narrow"/>
          <w:sz w:val="26"/>
          <w:szCs w:val="26"/>
        </w:rPr>
        <w:t xml:space="preserve">ayor cifra alcanzada en diez años y superior a la registrada en 2024, en que se dictaminaron un total de </w:t>
      </w:r>
      <w:r>
        <w:rPr>
          <w:rFonts w:ascii="Arial Narrow" w:hAnsi="Arial Narrow"/>
          <w:sz w:val="26"/>
          <w:szCs w:val="26"/>
        </w:rPr>
        <w:t xml:space="preserve">257 asuntos. </w:t>
      </w:r>
    </w:p>
    <w:p w:rsidR="00703447" w:rsidRDefault="00703447">
      <w:pPr>
        <w:pStyle w:val="western"/>
        <w:jc w:val="both"/>
        <w:rPr>
          <w:rFonts w:ascii="Arial Narrow" w:hAnsi="Arial Narrow"/>
          <w:sz w:val="26"/>
          <w:szCs w:val="26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alto volumen de propuestas presentadas en 2025 y que han obtenido  la autorización patrimonial de esta Comisión, certifica “que estamos ante una etapa de dinámico crecimiento y de recuperación integral del centro histórico”, ha señalado e</w:t>
      </w:r>
      <w:r>
        <w:rPr>
          <w:rFonts w:ascii="Arial Narrow" w:hAnsi="Arial Narrow"/>
          <w:sz w:val="26"/>
          <w:szCs w:val="26"/>
        </w:rPr>
        <w:t>l primer teniente de alcaldesa, Agustín Muñoz, quien también ha destacado el buen dato de viviendas autorizadas durante este periodo, que se elevan a 181, más del doble que el año anterior, en que se dio luz verde a 72.</w:t>
      </w:r>
    </w:p>
    <w:p w:rsidR="00703447" w:rsidRDefault="00703447">
      <w:pPr>
        <w:pStyle w:val="western"/>
        <w:jc w:val="both"/>
        <w:rPr>
          <w:rFonts w:ascii="Arial Narrow" w:eastAsia="NSimSun" w:hAnsi="Arial Narrow" w:cs="Alef"/>
          <w:spacing w:val="-2"/>
          <w:sz w:val="26"/>
          <w:szCs w:val="26"/>
          <w:lang w:bidi="hi-IN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intensa actividad de la Comisión</w:t>
      </w:r>
      <w:r>
        <w:rPr>
          <w:rFonts w:ascii="Arial Narrow" w:hAnsi="Arial Narrow"/>
          <w:sz w:val="26"/>
          <w:szCs w:val="26"/>
        </w:rPr>
        <w:t xml:space="preserve"> del Centro Histórico es un claro indicativo de la dinámica positiva que está experimentando el centro histórico en materia económica y social, que se concreta principalmente en un incremento en obras de nueva planta, muchas de ellas destinadas a viviendas</w:t>
      </w:r>
      <w:r>
        <w:rPr>
          <w:rFonts w:ascii="Arial Narrow" w:hAnsi="Arial Narrow"/>
          <w:sz w:val="26"/>
          <w:szCs w:val="26"/>
        </w:rPr>
        <w:t xml:space="preserve">, actuaciones de rehabilitación, reforma de locales, adaptaciones de inmuebles para nuevos usos, recuperación del patrimonio o mejoras tanto en interior como en exterior de edificios y domicilios particulares. </w:t>
      </w:r>
    </w:p>
    <w:p w:rsidR="00703447" w:rsidRDefault="00703447">
      <w:pPr>
        <w:pStyle w:val="western"/>
        <w:jc w:val="both"/>
        <w:rPr>
          <w:rFonts w:ascii="Arial Narrow" w:eastAsia="NSimSun" w:hAnsi="Arial Narrow" w:cs="Alef"/>
          <w:spacing w:val="-2"/>
          <w:sz w:val="26"/>
          <w:szCs w:val="26"/>
          <w:lang w:bidi="hi-IN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 Agustín Muñoz, el hecho de que en 2025 </w:t>
      </w:r>
      <w:r>
        <w:rPr>
          <w:rFonts w:ascii="Arial Narrow" w:hAnsi="Arial Narrow"/>
          <w:sz w:val="26"/>
          <w:szCs w:val="26"/>
        </w:rPr>
        <w:t>se haya registrado la cifra más alta de propuestas desde la creación de esta Comisión, en mayo de 2015, “no es fruto de la casualidad, sino de la proyección y el dinamismo que está adquiriendo Jerez y también su centro histórico en los últimos años gracias</w:t>
      </w:r>
      <w:r>
        <w:rPr>
          <w:rFonts w:ascii="Arial Narrow" w:hAnsi="Arial Narrow"/>
          <w:sz w:val="26"/>
          <w:szCs w:val="26"/>
        </w:rPr>
        <w:t xml:space="preserve"> a la acción conjunta de la iniciativa pública y el sector privado, y al diálogo constante con los agentes sociales, económicos y vecinales para hacerlos partícipes de los proyectos de ciudad”. </w:t>
      </w:r>
    </w:p>
    <w:p w:rsidR="00703447" w:rsidRDefault="00703447">
      <w:pPr>
        <w:pStyle w:val="western"/>
        <w:jc w:val="both"/>
        <w:rPr>
          <w:rFonts w:ascii="Arial Narrow" w:hAnsi="Arial Narrow"/>
          <w:sz w:val="26"/>
          <w:szCs w:val="26"/>
        </w:rPr>
      </w:pPr>
    </w:p>
    <w:p w:rsidR="00703447" w:rsidRDefault="001254C7">
      <w:pPr>
        <w:pStyle w:val="western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Proyectos autorizados en 2025 más destacados </w:t>
      </w:r>
    </w:p>
    <w:p w:rsidR="00703447" w:rsidRDefault="00703447">
      <w:pPr>
        <w:pStyle w:val="western"/>
        <w:jc w:val="both"/>
        <w:rPr>
          <w:rFonts w:ascii="Arial Narrow" w:hAnsi="Arial Narrow"/>
          <w:sz w:val="26"/>
          <w:szCs w:val="26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Respecto al </w:t>
      </w:r>
      <w:r>
        <w:rPr>
          <w:rFonts w:ascii="Arial Narrow" w:hAnsi="Arial Narrow"/>
          <w:sz w:val="26"/>
          <w:szCs w:val="26"/>
        </w:rPr>
        <w:t xml:space="preserve">año 2025, Agustín Muñoz ha destacado aquellos proyectos destinados a un uso residencial, que suman un total de 181  viviendas, resultantes o bien de nueva obra, o bien mediante actuaciones de reforma o rehabilitación de edificios en su mayoría, </w:t>
      </w:r>
      <w:r>
        <w:rPr>
          <w:rFonts w:ascii="Arial Narrow" w:hAnsi="Arial Narrow"/>
          <w:sz w:val="26"/>
          <w:szCs w:val="26"/>
        </w:rPr>
        <w:lastRenderedPageBreak/>
        <w:t>abandonados</w:t>
      </w:r>
      <w:r>
        <w:rPr>
          <w:rFonts w:ascii="Arial Narrow" w:hAnsi="Arial Narrow"/>
          <w:sz w:val="26"/>
          <w:szCs w:val="26"/>
        </w:rPr>
        <w:t xml:space="preserve"> o en mal estado. “Se consigue, por tanto un doble objetivo: por un lado, contribuir a la repoblación del centro, una de los principales prioridades del Gobierno municipal,  y, por otro, impulsar la recuperación del patrimonio arquitectónico de la ciudad y</w:t>
      </w:r>
      <w:r>
        <w:rPr>
          <w:rFonts w:ascii="Arial Narrow" w:hAnsi="Arial Narrow"/>
          <w:sz w:val="26"/>
          <w:szCs w:val="26"/>
        </w:rPr>
        <w:t xml:space="preserve"> mejorar la imagen de los barrios, haciéndolos más atractivos tanto para los residentes como para los visitantes”. </w:t>
      </w:r>
    </w:p>
    <w:p w:rsidR="00703447" w:rsidRDefault="00703447">
      <w:pPr>
        <w:pStyle w:val="western"/>
        <w:jc w:val="both"/>
        <w:rPr>
          <w:rFonts w:ascii="Arial Narrow" w:hAnsi="Arial Narrow"/>
          <w:sz w:val="26"/>
          <w:szCs w:val="26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estos proyectos, el primer teniente de alcaldesa ha destacado la  c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onstrucción de una promoción de 40 viviendas en calle </w:t>
      </w:r>
      <w:proofErr w:type="spellStart"/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Lealas</w:t>
      </w:r>
      <w:proofErr w:type="spellEnd"/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 o la 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reforma de un inmueble de valor histórico de la calle Valie</w:t>
      </w:r>
      <w:bookmarkStart w:id="1" w:name="_GoBack_Copia_1"/>
      <w:bookmarkEnd w:id="1"/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ntes para 23 viviendas, entre otros. Igualmente, se ha dado luz verde a l</w:t>
      </w:r>
      <w:r>
        <w:rPr>
          <w:rFonts w:ascii="Arial Narrow" w:eastAsia="Times New Roman" w:hAnsi="Arial Narrow" w:cs="Calibri Light"/>
          <w:color w:val="000000"/>
          <w:spacing w:val="-3"/>
          <w:sz w:val="26"/>
          <w:szCs w:val="26"/>
          <w:shd w:val="clear" w:color="auto" w:fill="FFFFFF"/>
          <w:lang w:eastAsia="zh-CN"/>
        </w:rPr>
        <w:t>a  rehabilitación de un edificio de la Plaza de Arroyo para destinarlo a un hotel y a la terminación de las obras de constru</w:t>
      </w:r>
      <w:r>
        <w:rPr>
          <w:rFonts w:ascii="Arial Narrow" w:eastAsia="Times New Roman" w:hAnsi="Arial Narrow" w:cs="Calibri Light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cción de un hotel de la calle Santa Isabel. </w:t>
      </w:r>
    </w:p>
    <w:p w:rsidR="00703447" w:rsidRDefault="00703447">
      <w:pPr>
        <w:pStyle w:val="western"/>
        <w:jc w:val="both"/>
        <w:rPr>
          <w:rFonts w:ascii="Arial Narrow" w:eastAsia="Times New Roman" w:hAnsi="Arial Narrow" w:cstheme="majorHAnsi"/>
          <w:spacing w:val="-3"/>
          <w:sz w:val="26"/>
          <w:szCs w:val="26"/>
          <w:shd w:val="clear" w:color="auto" w:fill="FFFFFF"/>
          <w:lang w:eastAsia="zh-CN"/>
        </w:rPr>
      </w:pPr>
    </w:p>
    <w:p w:rsidR="00703447" w:rsidRDefault="001254C7">
      <w:pPr>
        <w:pStyle w:val="western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En el apartado de proyectos municipales cabe mencionar la</w:t>
      </w:r>
      <w:r>
        <w:rPr>
          <w:rFonts w:ascii="Arial Narrow" w:eastAsia="Times New Roman" w:hAnsi="Arial Narrow" w:cs="Calibri Light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 autorización patrimonial de un nuevo proyecto de rehabilitación, restauración y conservación de la Casa Palacio de Riquelme, que se financiará con la su</w:t>
      </w:r>
      <w:r>
        <w:rPr>
          <w:rFonts w:ascii="Arial Narrow" w:eastAsia="Times New Roman" w:hAnsi="Arial Narrow" w:cs="Calibri Light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bvención del programa 2% Cultural del Ministerio de Vivienda y Agenda Urbana. </w:t>
      </w:r>
    </w:p>
    <w:p w:rsidR="00703447" w:rsidRDefault="00703447">
      <w:pPr>
        <w:pStyle w:val="western"/>
        <w:jc w:val="both"/>
        <w:rPr>
          <w:rFonts w:ascii="Arial Narrow" w:eastAsia="Times New Roman" w:hAnsi="Arial Narrow" w:cstheme="majorHAnsi"/>
          <w:spacing w:val="-3"/>
          <w:sz w:val="26"/>
          <w:szCs w:val="26"/>
          <w:shd w:val="clear" w:color="auto" w:fill="FFFFFF"/>
          <w:lang w:eastAsia="zh-CN"/>
        </w:rPr>
      </w:pPr>
    </w:p>
    <w:p w:rsidR="00703447" w:rsidRDefault="001254C7">
      <w:pPr>
        <w:pStyle w:val="western"/>
        <w:jc w:val="both"/>
      </w:pP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Durante 2025, también pasaron por esta Comisión actuaciones de mejora en equipamientos públicos, como las </w:t>
      </w:r>
      <w:r>
        <w:rPr>
          <w:rFonts w:ascii="Arial Narrow" w:eastAsia="Times New Roman" w:hAnsi="Arial Narrow" w:cs="Calibri"/>
          <w:color w:val="000000"/>
          <w:spacing w:val="-3"/>
          <w:sz w:val="26"/>
          <w:szCs w:val="26"/>
          <w:shd w:val="clear" w:color="auto" w:fill="FFFFFF"/>
          <w:lang w:eastAsia="zh-CN"/>
        </w:rPr>
        <w:t>obras de mejora de la Biblioteca Municipal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; la instalación de un siste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ma de entoldado en los CEIP Gloria Fuertes y Pío XII; las</w:t>
      </w:r>
      <w:r>
        <w:rPr>
          <w:rFonts w:ascii="Arial Narrow" w:eastAsia="Trebuchet MS" w:hAnsi="Arial Narrow" w:cs="Century Gothic"/>
          <w:color w:val="000000"/>
          <w:spacing w:val="-3"/>
          <w:kern w:val="2"/>
          <w:sz w:val="26"/>
          <w:szCs w:val="26"/>
          <w:shd w:val="clear" w:color="auto" w:fill="FFFFFF"/>
          <w:lang w:val="es-MX" w:eastAsia="zh-CN"/>
        </w:rPr>
        <w:t xml:space="preserve"> obras adaptación de espacios interiores del CEIP Miguel de Cervantes para uso de comedor escolar; actuaciones de mantenimiento y conservación en la Escuela Oficial de Idiomas de Jerez; o las obras d</w:t>
      </w:r>
      <w:r>
        <w:rPr>
          <w:rFonts w:ascii="Arial Narrow" w:eastAsia="Trebuchet MS" w:hAnsi="Arial Narrow" w:cs="Century Gothic"/>
          <w:color w:val="000000"/>
          <w:spacing w:val="-3"/>
          <w:kern w:val="2"/>
          <w:sz w:val="26"/>
          <w:szCs w:val="26"/>
          <w:shd w:val="clear" w:color="auto" w:fill="FFFFFF"/>
          <w:lang w:val="es-MX" w:eastAsia="zh-CN"/>
        </w:rPr>
        <w:t xml:space="preserve">e adecentamiento de parte de las fachadas del antiguo complejo bodeguero Díez-Mérito situado en la calle Ferrocarril esquina con Méndez Núñez. </w:t>
      </w:r>
    </w:p>
    <w:p w:rsidR="00703447" w:rsidRDefault="00703447">
      <w:pPr>
        <w:pStyle w:val="western"/>
        <w:jc w:val="both"/>
        <w:rPr>
          <w:rFonts w:ascii="Arial Narrow" w:eastAsia="Times New Roman" w:hAnsi="Arial Narrow" w:cstheme="majorHAnsi"/>
          <w:spacing w:val="-3"/>
          <w:sz w:val="26"/>
          <w:szCs w:val="26"/>
          <w:shd w:val="clear" w:color="auto" w:fill="FFFFFF"/>
          <w:lang w:eastAsia="zh-CN"/>
        </w:rPr>
      </w:pPr>
    </w:p>
    <w:p w:rsidR="00703447" w:rsidRDefault="001254C7">
      <w:pPr>
        <w:pStyle w:val="western"/>
        <w:jc w:val="both"/>
      </w:pP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Del mismo modo, se dictaminaron favorablemente el proyecto de la nueva señalética identificativa del Centro Com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ercial Abierto de Jerez (CCA); </w:t>
      </w:r>
      <w:r>
        <w:rPr>
          <w:rFonts w:ascii="Arial Narrow" w:eastAsia="Times New Roman" w:hAnsi="Arial Narrow" w:cs="Arial"/>
          <w:color w:val="000000"/>
          <w:spacing w:val="-3"/>
          <w:sz w:val="26"/>
          <w:szCs w:val="26"/>
          <w:shd w:val="clear" w:color="auto" w:fill="FFFFFF"/>
          <w:lang w:eastAsia="zh-CN"/>
        </w:rPr>
        <w:t xml:space="preserve">los trabajos </w:t>
      </w:r>
      <w:r>
        <w:rPr>
          <w:rFonts w:ascii="Arial Narrow" w:eastAsia="Times New Roman" w:hAnsi="Arial Narrow" w:cstheme="majorHAnsi"/>
          <w:color w:val="000000"/>
          <w:spacing w:val="-3"/>
          <w:sz w:val="26"/>
          <w:szCs w:val="26"/>
          <w:shd w:val="clear" w:color="auto" w:fill="FFFFFF"/>
          <w:lang w:eastAsia="zh-CN"/>
        </w:rPr>
        <w:t>de reposición del falso techo del pasaje público San Ignacio; y la renovación del parque infantil de la Plaza del Progreso.</w:t>
      </w:r>
    </w:p>
    <w:p w:rsidR="00703447" w:rsidRDefault="00703447">
      <w:pPr>
        <w:pStyle w:val="western"/>
        <w:jc w:val="both"/>
        <w:rPr>
          <w:rFonts w:ascii="Arial Narrow" w:eastAsia="Times New Roman" w:hAnsi="Arial Narrow" w:cstheme="majorHAnsi"/>
          <w:spacing w:val="-3"/>
          <w:sz w:val="26"/>
          <w:szCs w:val="26"/>
          <w:shd w:val="clear" w:color="auto" w:fill="FFFFFF"/>
          <w:lang w:eastAsia="zh-CN"/>
        </w:rPr>
      </w:pPr>
    </w:p>
    <w:p w:rsidR="00703447" w:rsidRDefault="001254C7">
      <w:pPr>
        <w:jc w:val="both"/>
      </w:pPr>
      <w:r>
        <w:rPr>
          <w:rFonts w:ascii="Arial Narrow" w:eastAsia="Trebuchet MS" w:hAnsi="Arial Narrow" w:cs="Century Gothic"/>
          <w:color w:val="000000"/>
          <w:spacing w:val="-3"/>
          <w:kern w:val="2"/>
          <w:sz w:val="26"/>
          <w:szCs w:val="26"/>
          <w:shd w:val="clear" w:color="auto" w:fill="FFFFFF"/>
          <w:lang w:val="es-MX" w:eastAsia="zh-CN"/>
        </w:rPr>
        <w:t xml:space="preserve">Entre los asuntos informados a lo largo del pasado año, figuraban también la rehabilitación de las instalaciones del antiguo Museo Taurino para la implantación del Vivero de Empresas 4.0 y las obras solicitadas por la Hermandad de Nuestra Señora del Rocío </w:t>
      </w:r>
      <w:r>
        <w:rPr>
          <w:rFonts w:ascii="Arial Narrow" w:eastAsia="Trebuchet MS" w:hAnsi="Arial Narrow" w:cs="Century Gothic"/>
          <w:color w:val="000000"/>
          <w:spacing w:val="-3"/>
          <w:kern w:val="2"/>
          <w:sz w:val="26"/>
          <w:szCs w:val="26"/>
          <w:shd w:val="clear" w:color="auto" w:fill="FFFFFF"/>
          <w:lang w:val="es-MX" w:eastAsia="zh-CN"/>
        </w:rPr>
        <w:t xml:space="preserve">de Jerez en el Claustro del antiguo Convento de Santo Domingo para destinarlas a su nueva sede. </w:t>
      </w:r>
    </w:p>
    <w:sectPr w:rsidR="0070344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54C7">
      <w:r>
        <w:separator/>
      </w:r>
    </w:p>
  </w:endnote>
  <w:endnote w:type="continuationSeparator" w:id="0">
    <w:p w:rsidR="00000000" w:rsidRDefault="0012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54C7">
      <w:r>
        <w:separator/>
      </w:r>
    </w:p>
  </w:footnote>
  <w:footnote w:type="continuationSeparator" w:id="0">
    <w:p w:rsidR="00000000" w:rsidRDefault="0012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447" w:rsidRDefault="001254C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447" w:rsidRDefault="007034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1254C7"/>
    <w:rsid w:val="0070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459DD-9041-44CA-8A91-D44D5F5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Ttulo"/>
    <w:next w:val="Textoindependiente"/>
    <w:qFormat/>
    <w:pPr>
      <w:spacing w:before="120" w:after="60"/>
      <w:outlineLvl w:val="4"/>
    </w:pPr>
    <w:rPr>
      <w:rFonts w:ascii="Liberation Serif;Times New Roma" w:eastAsia="NSimSun" w:hAnsi="Liberation Serif;Times New R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710</Words>
  <Characters>3905</Characters>
  <Application>Microsoft Office Word</Application>
  <DocSecurity>0</DocSecurity>
  <Lines>32</Lines>
  <Paragraphs>9</Paragraphs>
  <ScaleCrop>false</ScaleCrop>
  <Company>Aytojerez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</cp:revision>
  <cp:lastPrinted>2026-01-13T10:40:00Z</cp:lastPrinted>
  <dcterms:created xsi:type="dcterms:W3CDTF">2026-01-07T10:37:00Z</dcterms:created>
  <dcterms:modified xsi:type="dcterms:W3CDTF">2026-01-16T12:57:00Z</dcterms:modified>
  <dc:language>es-ES</dc:language>
</cp:coreProperties>
</file>