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C5" w:rsidRDefault="007D7AC5">
      <w:pPr>
        <w:rPr>
          <w:rFonts w:ascii="Arial Narrow" w:hAnsi="Arial Narrow"/>
          <w:color w:val="000000"/>
          <w:sz w:val="26"/>
          <w:szCs w:val="26"/>
        </w:rPr>
      </w:pPr>
    </w:p>
    <w:p w:rsidR="007D7AC5" w:rsidRDefault="007D7AC5">
      <w:pPr>
        <w:rPr>
          <w:rFonts w:ascii="Arial Narrow" w:hAnsi="Arial Narrow"/>
          <w:b/>
          <w:bCs/>
        </w:rPr>
      </w:pPr>
    </w:p>
    <w:p w:rsidR="007D7AC5" w:rsidRDefault="00555098">
      <w:pPr>
        <w:pStyle w:val="Textoindependiente"/>
        <w:spacing w:line="240" w:lineRule="auto"/>
      </w:pPr>
      <w:r>
        <w:rPr>
          <w:rFonts w:ascii="Arial Narrow" w:hAnsi="Arial Narrow"/>
          <w:b/>
          <w:bCs/>
          <w:color w:val="000000"/>
          <w:sz w:val="40"/>
          <w:szCs w:val="26"/>
        </w:rPr>
        <w:t>El Ayuntamiento aprueba la venta de tres parcelas edificables en calle Pizarro, El Carrascal y La Milagrosa para construir un mínimo de 186 viviendas acogidas a algún régimen de protección publica</w:t>
      </w:r>
    </w:p>
    <w:p w:rsidR="007D7AC5" w:rsidRPr="00555098" w:rsidRDefault="00555098">
      <w:pPr>
        <w:pStyle w:val="Textoindependiente"/>
        <w:spacing w:after="0" w:line="240" w:lineRule="auto"/>
        <w:rPr>
          <w:sz w:val="36"/>
          <w:szCs w:val="36"/>
        </w:rPr>
      </w:pPr>
      <w:r w:rsidRPr="00555098">
        <w:rPr>
          <w:rFonts w:ascii="Arial Narrow" w:hAnsi="Arial Narrow"/>
          <w:color w:val="000000"/>
          <w:sz w:val="36"/>
          <w:szCs w:val="36"/>
        </w:rPr>
        <w:t>Belén de la Cuadra afir</w:t>
      </w:r>
      <w:r>
        <w:rPr>
          <w:rFonts w:ascii="Arial Narrow" w:hAnsi="Arial Narrow"/>
          <w:color w:val="000000"/>
          <w:sz w:val="36"/>
          <w:szCs w:val="36"/>
        </w:rPr>
        <w:t xml:space="preserve">ma que esta nueva convocatoria </w:t>
      </w:r>
      <w:r w:rsidRPr="00555098">
        <w:rPr>
          <w:rFonts w:ascii="Arial Narrow" w:hAnsi="Arial Narrow" w:cs="Arial"/>
          <w:color w:val="000000"/>
          <w:sz w:val="36"/>
          <w:szCs w:val="36"/>
        </w:rPr>
        <w:t>supone “un importante avance en nuestro compromiso de adoptar medidas para favorecer el acceso a la vivienda as</w:t>
      </w:r>
      <w:r w:rsidRPr="00555098">
        <w:rPr>
          <w:rFonts w:ascii="Arial Narrow" w:hAnsi="Arial Narrow" w:cs="Arial"/>
          <w:color w:val="000000"/>
          <w:sz w:val="36"/>
          <w:szCs w:val="36"/>
        </w:rPr>
        <w:t>equible en Jerez”</w:t>
      </w: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D7AC5" w:rsidRDefault="0055509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20 de enero de 2026.</w:t>
      </w:r>
      <w:r>
        <w:rPr>
          <w:rFonts w:ascii="Arial Narrow" w:hAnsi="Arial Narrow"/>
          <w:color w:val="000000"/>
          <w:sz w:val="26"/>
          <w:szCs w:val="26"/>
        </w:rPr>
        <w:t xml:space="preserve"> La Junta de Gobierno Local ha aprobado la convocatoria de licitación pública para la enajenación de tres parcelas edificables de titularidad municipal destinadas a la construcción de Vivienda Protegidas (VP), situada</w:t>
      </w:r>
      <w:r>
        <w:rPr>
          <w:rFonts w:ascii="Arial Narrow" w:hAnsi="Arial Narrow"/>
          <w:color w:val="000000"/>
          <w:sz w:val="26"/>
          <w:szCs w:val="26"/>
        </w:rPr>
        <w:t>s en los sectores de suelo urbano 'El Carrascal', 'La Milagrosa' y 'Pizarro'</w:t>
      </w:r>
      <w:r>
        <w:rPr>
          <w:rFonts w:ascii="Arial Narrow" w:hAnsi="Arial Narrow"/>
          <w:color w:val="000000"/>
          <w:sz w:val="26"/>
          <w:szCs w:val="26"/>
        </w:rPr>
        <w:t xml:space="preserve">, y donde se podrán construir al menos 186 viviendas protegidas. Una vez aprobada esta licitación, se procederá en breve a su publicación en la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Plataforma de Contratación del Secto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r Público. </w:t>
      </w:r>
    </w:p>
    <w:p w:rsidR="007D7AC5" w:rsidRDefault="007D7AC5">
      <w:pPr>
        <w:pStyle w:val="Textoindependiente"/>
        <w:spacing w:after="0" w:line="240" w:lineRule="auto"/>
        <w:jc w:val="both"/>
      </w:pPr>
    </w:p>
    <w:p w:rsidR="007D7AC5" w:rsidRDefault="0055509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acuerdo de Junta de Gobierno Local ha incluido la aprobación del Pliego de Cláusulas Administrativas Particulares que regirá la citada licitación pública</w:t>
      </w:r>
      <w:r>
        <w:rPr>
          <w:rFonts w:ascii="Arial Narrow" w:hAnsi="Arial Narrow" w:cs="Arial"/>
          <w:color w:val="000000"/>
          <w:sz w:val="26"/>
          <w:szCs w:val="26"/>
        </w:rPr>
        <w:t>, que se suma a la convocada la semana pasada para la venta de otras tres parcelas fina</w:t>
      </w:r>
      <w:r>
        <w:rPr>
          <w:rFonts w:ascii="Arial Narrow" w:hAnsi="Arial Narrow" w:cs="Arial"/>
          <w:color w:val="000000"/>
          <w:sz w:val="26"/>
          <w:szCs w:val="26"/>
        </w:rPr>
        <w:t xml:space="preserve">listas (situadas en </w:t>
      </w:r>
      <w:proofErr w:type="gramStart"/>
      <w:r>
        <w:rPr>
          <w:rFonts w:ascii="Arial Narrow" w:hAnsi="Arial Narrow" w:cs="Arial"/>
          <w:color w:val="000000"/>
          <w:sz w:val="26"/>
          <w:szCs w:val="26"/>
        </w:rPr>
        <w:t>la</w:t>
      </w:r>
      <w:proofErr w:type="gramEnd"/>
      <w:r>
        <w:rPr>
          <w:rFonts w:ascii="Arial Narrow" w:hAnsi="Arial Narrow" w:cs="Arial"/>
          <w:color w:val="000000"/>
          <w:sz w:val="26"/>
          <w:szCs w:val="26"/>
        </w:rPr>
        <w:t xml:space="preserve"> calle Cristal, zona de El Retiro y en </w:t>
      </w:r>
      <w:proofErr w:type="spellStart"/>
      <w:r>
        <w:rPr>
          <w:rFonts w:ascii="Arial Narrow" w:hAnsi="Arial Narrow" w:cs="Arial"/>
          <w:color w:val="000000"/>
          <w:sz w:val="26"/>
          <w:szCs w:val="26"/>
        </w:rPr>
        <w:t>Pozoalbero</w:t>
      </w:r>
      <w:proofErr w:type="spellEnd"/>
      <w:r>
        <w:rPr>
          <w:rFonts w:ascii="Arial Narrow" w:hAnsi="Arial Narrow" w:cs="Arial"/>
          <w:color w:val="000000"/>
          <w:sz w:val="26"/>
          <w:szCs w:val="26"/>
        </w:rPr>
        <w:t xml:space="preserve">), que son propiedad, en esta ocasión, de la Empresa Municipal de la Vivienda, </w:t>
      </w:r>
      <w:proofErr w:type="spellStart"/>
      <w:r>
        <w:rPr>
          <w:rFonts w:ascii="Arial Narrow" w:hAnsi="Arial Narrow" w:cs="Arial"/>
          <w:color w:val="000000"/>
          <w:sz w:val="26"/>
          <w:szCs w:val="26"/>
        </w:rPr>
        <w:t>Emuvijesa</w:t>
      </w:r>
      <w:proofErr w:type="spellEnd"/>
      <w:r>
        <w:rPr>
          <w:rFonts w:ascii="Arial Narrow" w:hAnsi="Arial Narrow" w:cs="Arial"/>
          <w:color w:val="000000"/>
          <w:sz w:val="26"/>
          <w:szCs w:val="26"/>
        </w:rPr>
        <w:t xml:space="preserve">, y que también forman parte de la oferta de suelo que pone el Ayuntamiento a disposición de los </w:t>
      </w:r>
      <w:r>
        <w:rPr>
          <w:rFonts w:ascii="Arial Narrow" w:hAnsi="Arial Narrow" w:cs="Arial"/>
          <w:color w:val="000000"/>
          <w:sz w:val="26"/>
          <w:szCs w:val="26"/>
        </w:rPr>
        <w:t xml:space="preserve">promotores para facilitar la construcción de vivienda en la ciudad. </w:t>
      </w: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7D7AC5" w:rsidRDefault="0055509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La delegada de Vivienda y Urbanismo, Belén de la Cuadra, ha explicado que “estas parcelas forman parte de la bolsa de suelo asequible (integrada por 28 parcelas que suman una superficie de 79.000 metros cuadrados y un potencial de construcción de 1.864 viv</w:t>
      </w:r>
      <w:r>
        <w:rPr>
          <w:rFonts w:ascii="Arial Narrow" w:hAnsi="Arial Narrow" w:cs="Arial"/>
          <w:color w:val="000000"/>
          <w:sz w:val="26"/>
          <w:szCs w:val="26"/>
        </w:rPr>
        <w:t xml:space="preserve">iendas protegidas), que hemos puesto a disposición de los promotores para incentivar y agilizar la construcción de vivienda protegida en la ciudad, que es una de nuestras máximas prioridades”. </w:t>
      </w: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7D7AC5" w:rsidRDefault="0055509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Asimismo, ha señalado que “estos tres suelos que sacamos ahor</w:t>
      </w:r>
      <w:r>
        <w:rPr>
          <w:rFonts w:ascii="Arial Narrow" w:hAnsi="Arial Narrow" w:cs="Arial"/>
          <w:color w:val="000000"/>
          <w:sz w:val="26"/>
          <w:szCs w:val="26"/>
        </w:rPr>
        <w:t xml:space="preserve">a a licitación, junto con los ofertados por parte de </w:t>
      </w:r>
      <w:proofErr w:type="spellStart"/>
      <w:r>
        <w:rPr>
          <w:rFonts w:ascii="Arial Narrow" w:hAnsi="Arial Narrow" w:cs="Arial"/>
          <w:color w:val="000000"/>
          <w:sz w:val="26"/>
          <w:szCs w:val="26"/>
        </w:rPr>
        <w:t>Emuvijesa</w:t>
      </w:r>
      <w:proofErr w:type="spellEnd"/>
      <w:r>
        <w:rPr>
          <w:rFonts w:ascii="Arial Narrow" w:hAnsi="Arial Narrow" w:cs="Arial"/>
          <w:color w:val="000000"/>
          <w:sz w:val="26"/>
          <w:szCs w:val="26"/>
        </w:rPr>
        <w:t xml:space="preserve"> la semana pasada, son los que mayor interés han despertado entre los promotores que han consultado el listado de parcelas disponibles para construir nuevas viviendas protegidas. Por las consult</w:t>
      </w:r>
      <w:r>
        <w:rPr>
          <w:rFonts w:ascii="Arial Narrow" w:hAnsi="Arial Narrow" w:cs="Arial"/>
          <w:color w:val="000000"/>
          <w:sz w:val="26"/>
          <w:szCs w:val="26"/>
        </w:rPr>
        <w:t xml:space="preserve">as y peticiones de información que hemos recibido a través de nuestra web o vía telefónica, hemos constatado que estos terrenos son los que más demanda tienen entre las empresas promotoras del </w:t>
      </w:r>
      <w:r>
        <w:rPr>
          <w:rFonts w:ascii="Arial Narrow" w:hAnsi="Arial Narrow" w:cs="Arial"/>
          <w:color w:val="000000"/>
          <w:sz w:val="26"/>
          <w:szCs w:val="26"/>
        </w:rPr>
        <w:lastRenderedPageBreak/>
        <w:t xml:space="preserve">sector, y de ahí que sean los primeros en ponerse en venta con </w:t>
      </w:r>
      <w:r>
        <w:rPr>
          <w:rFonts w:ascii="Arial Narrow" w:hAnsi="Arial Narrow" w:cs="Arial"/>
          <w:color w:val="000000"/>
          <w:sz w:val="26"/>
          <w:szCs w:val="26"/>
        </w:rPr>
        <w:t xml:space="preserve">el fin de agilizar su puesta en carga”, en palabras de Belén de la Cuadra. </w:t>
      </w: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7D7AC5" w:rsidRDefault="0055509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Así pues, esta licitación supone un importante avance en el compromiso del Gobierno de María José García-Pelayo de adoptar medidas tendentes a favorecer el acceso a la vivienda as</w:t>
      </w:r>
      <w:r>
        <w:rPr>
          <w:rFonts w:ascii="Arial Narrow" w:hAnsi="Arial Narrow" w:cs="Arial"/>
          <w:color w:val="000000"/>
          <w:sz w:val="26"/>
          <w:szCs w:val="26"/>
        </w:rPr>
        <w:t>equible en Jerez, “un objetivo que pasa por incrementar la oferta de suelo urbanizado destinado a este fin y dar todas las facilidades posibles al promotor para agilizar su construcción; este es el camino emprendido y vamos a seguir con hoja de ruta que no</w:t>
      </w:r>
      <w:r>
        <w:rPr>
          <w:rFonts w:ascii="Arial Narrow" w:hAnsi="Arial Narrow" w:cs="Arial"/>
          <w:color w:val="000000"/>
          <w:sz w:val="26"/>
          <w:szCs w:val="26"/>
        </w:rPr>
        <w:t xml:space="preserve">s hemos marcado”, ha explicado Belén de la Cuadra. </w:t>
      </w: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7D7AC5" w:rsidRDefault="00555098">
      <w:pPr>
        <w:pStyle w:val="Textoindependiente"/>
        <w:spacing w:after="0" w:line="240" w:lineRule="auto"/>
        <w:jc w:val="both"/>
      </w:pPr>
      <w:r>
        <w:rPr>
          <w:rFonts w:ascii="Arial Narrow" w:hAnsi="Arial Narrow" w:cs="Arial"/>
          <w:color w:val="000000"/>
          <w:sz w:val="26"/>
          <w:szCs w:val="26"/>
        </w:rPr>
        <w:t xml:space="preserve">En este sentido, ha recordado que esta bolsa de suelo se elaboró conforme a la normativa incluida en el </w:t>
      </w:r>
      <w:r>
        <w:rPr>
          <w:rFonts w:ascii="Arial Narrow" w:hAnsi="Arial Narrow" w:cs="Trebuchet MS"/>
          <w:color w:val="000000"/>
          <w:sz w:val="26"/>
          <w:szCs w:val="26"/>
          <w:lang w:eastAsia="es-ES"/>
        </w:rPr>
        <w:t>Decreto-Ley 1/2025, de 24 de febrero de medidas urgentes para impulsar la promoción de viviendas pú</w:t>
      </w:r>
      <w:r>
        <w:rPr>
          <w:rFonts w:ascii="Arial Narrow" w:hAnsi="Arial Narrow" w:cs="Trebuchet MS"/>
          <w:color w:val="000000"/>
          <w:sz w:val="26"/>
          <w:szCs w:val="26"/>
          <w:lang w:eastAsia="es-ES"/>
        </w:rPr>
        <w:t>blicas en Andalucía, al que Jerez fue uno de los primeros municipios andaluces en acogerse -por acuerdo plenario adoptado en mayo de 2025 -. Como ya se ha explicado, esta normativa andaluza ofrece importantes incentivos para favorecer la promoción de vivie</w:t>
      </w:r>
      <w:r>
        <w:rPr>
          <w:rFonts w:ascii="Arial Narrow" w:hAnsi="Arial Narrow" w:cs="Trebuchet MS"/>
          <w:color w:val="000000"/>
          <w:sz w:val="26"/>
          <w:szCs w:val="26"/>
          <w:lang w:eastAsia="es-ES"/>
        </w:rPr>
        <w:t xml:space="preserve">ndas en plazos más reducidos, aumentar la oferta de suelo disponible, así como incrementar el número máximo permitido de viviendas protegidas a construir en cada parcela. </w:t>
      </w:r>
    </w:p>
    <w:p w:rsidR="007D7AC5" w:rsidRDefault="007D7AC5">
      <w:pPr>
        <w:pStyle w:val="Standard"/>
        <w:jc w:val="both"/>
        <w:rPr>
          <w:rFonts w:ascii="Arial Narrow" w:hAnsi="Arial Narrow" w:hint="eastAsia"/>
          <w:sz w:val="26"/>
          <w:szCs w:val="26"/>
        </w:rPr>
      </w:pPr>
    </w:p>
    <w:p w:rsidR="007D7AC5" w:rsidRDefault="00555098">
      <w:pPr>
        <w:pStyle w:val="Textoindependiente"/>
        <w:spacing w:line="240" w:lineRule="auto"/>
        <w:jc w:val="both"/>
      </w:pPr>
      <w:r>
        <w:rPr>
          <w:rFonts w:ascii="Arial Narrow" w:hAnsi="Arial Narrow"/>
          <w:b/>
          <w:bCs/>
          <w:sz w:val="26"/>
          <w:szCs w:val="26"/>
        </w:rPr>
        <w:t>Descripción de las parcelas ofertadas</w:t>
      </w:r>
    </w:p>
    <w:p w:rsidR="007D7AC5" w:rsidRDefault="00555098">
      <w:pPr>
        <w:spacing w:beforeAutospacing="1" w:afterAutospacing="1"/>
        <w:jc w:val="both"/>
      </w:pPr>
      <w:r>
        <w:rPr>
          <w:rFonts w:ascii="Arial Narrow" w:eastAsia="Times New Roman" w:hAnsi="Arial Narrow" w:cs="Century Gothic"/>
          <w:color w:val="00000A"/>
          <w:sz w:val="26"/>
          <w:szCs w:val="26"/>
          <w:lang w:eastAsia="es-ES"/>
        </w:rPr>
        <w:t>La parcela de la calle Pizarro es la resultan</w:t>
      </w:r>
      <w:r>
        <w:rPr>
          <w:rFonts w:ascii="Arial Narrow" w:eastAsia="Times New Roman" w:hAnsi="Arial Narrow" w:cs="Century Gothic"/>
          <w:color w:val="00000A"/>
          <w:sz w:val="26"/>
          <w:szCs w:val="26"/>
          <w:lang w:eastAsia="es-ES"/>
        </w:rPr>
        <w:t xml:space="preserve">te de la agrupación de las fincas denominadas 2A y 2B realizadas dentro del </w:t>
      </w:r>
      <w:r>
        <w:rPr>
          <w:rFonts w:ascii="Arial Narrow" w:eastAsia="Times New Roman" w:hAnsi="Arial Narrow" w:cs="Trebuchet MS"/>
          <w:color w:val="00000A"/>
          <w:sz w:val="26"/>
          <w:szCs w:val="26"/>
          <w:lang w:eastAsia="es-ES"/>
        </w:rPr>
        <w:t>Proyecto de Reparcelación del Área de Reforma Interior ARI F.16-Pizarro. Cuenta con una superficie de 1.661,98 metros cuadrados y una edificabilidad total de 5.961 metros cuadrados</w:t>
      </w:r>
      <w:r>
        <w:rPr>
          <w:rFonts w:ascii="Arial Narrow" w:eastAsia="Times New Roman" w:hAnsi="Arial Narrow" w:cs="Trebuchet MS"/>
          <w:color w:val="00000A"/>
          <w:sz w:val="26"/>
          <w:szCs w:val="26"/>
          <w:lang w:eastAsia="es-ES"/>
        </w:rPr>
        <w:t xml:space="preserve">, con capacidad para un mínimo de 53 viviendas protegidas. El precio mínimo de licitación asciende a 1.441.997,79 euros. </w:t>
      </w:r>
    </w:p>
    <w:p w:rsidR="007D7AC5" w:rsidRDefault="00555098">
      <w:pPr>
        <w:spacing w:beforeAutospacing="1" w:afterAutospacing="1"/>
        <w:jc w:val="both"/>
      </w:pPr>
      <w:r>
        <w:rPr>
          <w:rFonts w:ascii="Arial Narrow" w:eastAsia="Times New Roman" w:hAnsi="Arial Narrow" w:cs="Century Gothic"/>
          <w:color w:val="00000A"/>
          <w:sz w:val="26"/>
          <w:szCs w:val="26"/>
          <w:lang w:eastAsia="es-ES"/>
        </w:rPr>
        <w:t>La Parcela 5A de El Carrascal, en la que podrían construir</w:t>
      </w:r>
      <w:r>
        <w:rPr>
          <w:rFonts w:ascii="Arial Narrow" w:eastAsia="Times New Roman" w:hAnsi="Arial Narrow" w:cs="Century Gothic"/>
          <w:strike/>
          <w:color w:val="00000A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Century Gothic"/>
          <w:color w:val="00000A"/>
          <w:sz w:val="26"/>
          <w:szCs w:val="26"/>
          <w:lang w:eastAsia="es-ES"/>
        </w:rPr>
        <w:t xml:space="preserve">en torno a 92 VP, forma parte del Proyecto de Reparcelación del sector 14 El Carrascal, y cuenta con una superficie de 4.375,46 metros cuadrados y una edificabilidad total que asciende a 11.332,13 metros cuadrados. </w:t>
      </w:r>
      <w:r>
        <w:rPr>
          <w:rFonts w:ascii="Arial Narrow" w:eastAsia="Times New Roman" w:hAnsi="Arial Narrow" w:cs="Trebuchet MS"/>
          <w:color w:val="00000A"/>
          <w:sz w:val="26"/>
          <w:szCs w:val="26"/>
          <w:lang w:eastAsia="es-ES"/>
        </w:rPr>
        <w:t xml:space="preserve"> El precio mínimo de licitación asciende </w:t>
      </w:r>
      <w:r>
        <w:rPr>
          <w:rFonts w:ascii="Arial Narrow" w:eastAsia="Times New Roman" w:hAnsi="Arial Narrow" w:cs="Trebuchet MS"/>
          <w:color w:val="00000A"/>
          <w:sz w:val="26"/>
          <w:szCs w:val="26"/>
          <w:lang w:eastAsia="es-ES"/>
        </w:rPr>
        <w:t>a 2.768.066 euros.</w:t>
      </w:r>
    </w:p>
    <w:p w:rsidR="007D7AC5" w:rsidRDefault="00555098">
      <w:pPr>
        <w:pStyle w:val="Standard"/>
        <w:jc w:val="both"/>
      </w:pPr>
      <w:r>
        <w:rPr>
          <w:rFonts w:ascii="Arial Narrow" w:hAnsi="Arial Narrow" w:cs="Trebuchet MS"/>
          <w:sz w:val="26"/>
          <w:szCs w:val="26"/>
        </w:rPr>
        <w:t xml:space="preserve">La oferta se completa con la </w:t>
      </w:r>
      <w:r>
        <w:rPr>
          <w:rFonts w:ascii="Arial Narrow" w:eastAsia="Times New Roman" w:hAnsi="Arial Narrow" w:cs="Trebuchet MS"/>
          <w:sz w:val="26"/>
          <w:szCs w:val="26"/>
          <w:lang w:eastAsia="es-ES" w:bidi="ar-SA"/>
        </w:rPr>
        <w:t>p</w:t>
      </w:r>
      <w:r>
        <w:rPr>
          <w:rFonts w:ascii="Arial Narrow" w:eastAsia="Times New Roman" w:hAnsi="Arial Narrow" w:cs="Trebuchet MS"/>
          <w:spacing w:val="-3"/>
          <w:sz w:val="26"/>
          <w:szCs w:val="26"/>
          <w:lang w:bidi="ar-SA"/>
        </w:rPr>
        <w:t xml:space="preserve">arcela 1.1. </w:t>
      </w:r>
      <w:proofErr w:type="gramStart"/>
      <w:r>
        <w:rPr>
          <w:rFonts w:ascii="Arial Narrow" w:eastAsia="Times New Roman" w:hAnsi="Arial Narrow" w:cs="Trebuchet MS"/>
          <w:spacing w:val="-3"/>
          <w:sz w:val="26"/>
          <w:szCs w:val="26"/>
          <w:lang w:bidi="ar-SA"/>
        </w:rPr>
        <w:t>situada</w:t>
      </w:r>
      <w:proofErr w:type="gramEnd"/>
      <w:r>
        <w:rPr>
          <w:rFonts w:ascii="Arial Narrow" w:eastAsia="Times New Roman" w:hAnsi="Arial Narrow" w:cs="Trebuchet MS"/>
          <w:spacing w:val="-3"/>
          <w:sz w:val="26"/>
          <w:szCs w:val="26"/>
          <w:lang w:bidi="ar-SA"/>
        </w:rPr>
        <w:t xml:space="preserve"> en la manzana 1 de la Unidad de Ejecución 4.G.3 “Milagrosa 2” en el entorno del Paseo de las Delicias y , con una extensión superficial de </w:t>
      </w:r>
      <w:r>
        <w:rPr>
          <w:rFonts w:ascii="Arial Narrow" w:hAnsi="Arial Narrow" w:cs="Arial"/>
          <w:spacing w:val="-3"/>
          <w:sz w:val="26"/>
          <w:szCs w:val="26"/>
        </w:rPr>
        <w:t>3.561,92 metros cuadrados y una edificabilidad t</w:t>
      </w:r>
      <w:r>
        <w:rPr>
          <w:rFonts w:ascii="Arial Narrow" w:hAnsi="Arial Narrow" w:cs="Arial"/>
          <w:spacing w:val="-3"/>
          <w:sz w:val="26"/>
          <w:szCs w:val="26"/>
        </w:rPr>
        <w:t xml:space="preserve">otal de 4.154,73 metros cuadrados, en que construir en torno a 41 viviendas. </w:t>
      </w:r>
      <w:r>
        <w:rPr>
          <w:rFonts w:ascii="Arial Narrow" w:eastAsia="Times New Roman" w:hAnsi="Arial Narrow" w:cs="Trebuchet MS"/>
          <w:color w:val="00000A"/>
          <w:spacing w:val="-3"/>
          <w:sz w:val="26"/>
          <w:szCs w:val="26"/>
          <w:lang w:eastAsia="es-ES"/>
        </w:rPr>
        <w:t>El precio mínimo de licitación asciende a 960.573,53 euros.</w:t>
      </w:r>
    </w:p>
    <w:p w:rsidR="007D7AC5" w:rsidRDefault="007D7AC5">
      <w:pPr>
        <w:pStyle w:val="Standard"/>
        <w:jc w:val="both"/>
        <w:rPr>
          <w:color w:val="auto"/>
        </w:rPr>
      </w:pPr>
    </w:p>
    <w:p w:rsidR="007D7AC5" w:rsidRDefault="007D7AC5">
      <w:pPr>
        <w:pStyle w:val="Standard"/>
        <w:jc w:val="both"/>
        <w:rPr>
          <w:color w:val="auto"/>
        </w:rPr>
      </w:pPr>
    </w:p>
    <w:p w:rsidR="007D7AC5" w:rsidRDefault="007D7AC5">
      <w:pPr>
        <w:pStyle w:val="Standard"/>
        <w:jc w:val="both"/>
        <w:rPr>
          <w:color w:val="auto"/>
        </w:rPr>
      </w:pPr>
    </w:p>
    <w:p w:rsidR="007D7AC5" w:rsidRDefault="007D7AC5">
      <w:pPr>
        <w:pStyle w:val="Standard"/>
        <w:jc w:val="both"/>
        <w:rPr>
          <w:color w:val="auto"/>
        </w:rPr>
      </w:pPr>
    </w:p>
    <w:p w:rsidR="007D7AC5" w:rsidRDefault="007D7AC5">
      <w:pPr>
        <w:pStyle w:val="Standard"/>
        <w:jc w:val="both"/>
        <w:rPr>
          <w:color w:val="auto"/>
        </w:rPr>
      </w:pPr>
    </w:p>
    <w:p w:rsidR="007D7AC5" w:rsidRDefault="007D7AC5">
      <w:pPr>
        <w:pStyle w:val="Standard"/>
        <w:jc w:val="both"/>
        <w:rPr>
          <w:rFonts w:ascii="Arial Narrow" w:hAnsi="Arial Narrow" w:hint="eastAsia"/>
          <w:b/>
          <w:bCs/>
          <w:sz w:val="26"/>
          <w:szCs w:val="26"/>
        </w:rPr>
      </w:pPr>
    </w:p>
    <w:p w:rsidR="007D7AC5" w:rsidRDefault="007D7AC5">
      <w:pPr>
        <w:pStyle w:val="Standard"/>
        <w:jc w:val="both"/>
        <w:rPr>
          <w:rFonts w:ascii="Arial Narrow" w:hAnsi="Arial Narrow" w:hint="eastAsia"/>
          <w:b/>
          <w:bCs/>
          <w:sz w:val="26"/>
          <w:szCs w:val="26"/>
        </w:rPr>
      </w:pPr>
    </w:p>
    <w:p w:rsidR="007D7AC5" w:rsidRDefault="007D7AC5">
      <w:pPr>
        <w:pStyle w:val="Standard"/>
        <w:jc w:val="both"/>
        <w:rPr>
          <w:rFonts w:ascii="Arial Narrow" w:hAnsi="Arial Narrow" w:hint="eastAsia"/>
          <w:b/>
          <w:bCs/>
          <w:sz w:val="26"/>
          <w:szCs w:val="26"/>
        </w:rPr>
      </w:pPr>
    </w:p>
    <w:p w:rsidR="007D7AC5" w:rsidRDefault="007D7AC5">
      <w:pPr>
        <w:pStyle w:val="Standard"/>
        <w:jc w:val="both"/>
        <w:rPr>
          <w:rFonts w:ascii="Arial Narrow" w:hAnsi="Arial Narrow" w:hint="eastAsia"/>
          <w:b/>
          <w:bCs/>
          <w:sz w:val="26"/>
          <w:szCs w:val="26"/>
        </w:rPr>
      </w:pPr>
    </w:p>
    <w:p w:rsidR="007D7AC5" w:rsidRDefault="00555098">
      <w:pPr>
        <w:pStyle w:val="Standard"/>
        <w:jc w:val="both"/>
        <w:rPr>
          <w:rFonts w:ascii="Arial Narrow" w:hAnsi="Arial Narrow" w:hint="eastAsia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Criterios de valoración de ofertas</w:t>
      </w:r>
    </w:p>
    <w:p w:rsidR="007D7AC5" w:rsidRDefault="007D7AC5">
      <w:pPr>
        <w:pStyle w:val="Standard"/>
        <w:jc w:val="both"/>
        <w:rPr>
          <w:rFonts w:ascii="Arial Narrow" w:hAnsi="Arial Narrow" w:hint="eastAsia"/>
          <w:color w:val="auto"/>
          <w:sz w:val="26"/>
          <w:szCs w:val="26"/>
        </w:rPr>
      </w:pPr>
    </w:p>
    <w:p w:rsidR="007D7AC5" w:rsidRDefault="00555098">
      <w:pPr>
        <w:pStyle w:val="Standard"/>
        <w:jc w:val="both"/>
        <w:rPr>
          <w:rFonts w:ascii="Arial Narrow" w:hAnsi="Arial Narrow" w:hint="eastAsia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viviendas a construir en estos tres solares, tanto en venta como en alquiler, podrán acogerse a las siguientes categorías: viviendas protegidas de régimen especial, protegidas de régimen general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protegidas de precio limitado. En este apartado podrá </w:t>
      </w:r>
      <w:r>
        <w:rPr>
          <w:rFonts w:ascii="Arial Narrow" w:hAnsi="Arial Narrow"/>
          <w:sz w:val="26"/>
          <w:szCs w:val="26"/>
        </w:rPr>
        <w:t xml:space="preserve">obtener un máximo de 60 puntos en función del régimen de protección que se proponga, siendo el de régimen especial en venta o alquiler el que mayor puntuación obtendría. Asimismo, se puntuará </w:t>
      </w:r>
      <w:r>
        <w:rPr>
          <w:rFonts w:ascii="Arial Narrow" w:hAnsi="Arial Narrow"/>
          <w:sz w:val="26"/>
          <w:szCs w:val="26"/>
        </w:rPr>
        <w:t>la reducción porcentual del precio de venta/alquiler de las vivi</w:t>
      </w:r>
      <w:r>
        <w:rPr>
          <w:rFonts w:ascii="Arial Narrow" w:hAnsi="Arial Narrow"/>
          <w:sz w:val="26"/>
          <w:szCs w:val="26"/>
        </w:rPr>
        <w:t>endas que se promuevan, pudiendo obtener un máximo de 20 puntos.</w:t>
      </w:r>
    </w:p>
    <w:p w:rsidR="007D7AC5" w:rsidRDefault="007D7AC5">
      <w:pPr>
        <w:pStyle w:val="Standard"/>
        <w:ind w:firstLine="720"/>
        <w:jc w:val="both"/>
        <w:rPr>
          <w:rFonts w:ascii="Arial Narrow" w:hAnsi="Arial Narrow" w:hint="eastAsia"/>
          <w:color w:val="auto"/>
          <w:sz w:val="26"/>
          <w:szCs w:val="26"/>
        </w:rPr>
      </w:pPr>
    </w:p>
    <w:p w:rsidR="007D7AC5" w:rsidRDefault="00555098">
      <w:pPr>
        <w:pStyle w:val="Standard"/>
        <w:jc w:val="both"/>
        <w:rPr>
          <w:color w:val="auto"/>
        </w:rPr>
      </w:pPr>
      <w:r>
        <w:rPr>
          <w:rFonts w:ascii="Arial Narrow" w:hAnsi="Arial Narrow"/>
          <w:sz w:val="26"/>
          <w:szCs w:val="26"/>
        </w:rPr>
        <w:t>En cuanto al criterio económico, se valorará el mayor incremento del precio ofertado. Los licitadores podrán mejorar el tipo de licitación mediante la presentación de ofertas económicas al a</w:t>
      </w:r>
      <w:r>
        <w:rPr>
          <w:rFonts w:ascii="Arial Narrow" w:hAnsi="Arial Narrow"/>
          <w:sz w:val="26"/>
          <w:szCs w:val="26"/>
        </w:rPr>
        <w:t xml:space="preserve">lza. En este apartado podrá obtener un máximo de 20 puntos la mejor oferta económica. </w:t>
      </w:r>
    </w:p>
    <w:p w:rsidR="007D7AC5" w:rsidRDefault="007D7AC5">
      <w:pPr>
        <w:jc w:val="both"/>
        <w:rPr>
          <w:rFonts w:ascii="Arial Narrow" w:hAnsi="Arial Narrow"/>
          <w:sz w:val="26"/>
          <w:szCs w:val="26"/>
        </w:rPr>
      </w:pPr>
    </w:p>
    <w:p w:rsidR="007D7AC5" w:rsidRDefault="00555098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color w:val="000000"/>
          <w:sz w:val="26"/>
          <w:szCs w:val="26"/>
        </w:rPr>
        <w:t>Cabe destacar que los ingresos provenientes de la enajenación de cada una de las fincas habrán de quedar adscritos según su procedencia al Patrimonio Municipal del Suel</w:t>
      </w:r>
      <w:r>
        <w:rPr>
          <w:rFonts w:ascii="Arial Narrow" w:hAnsi="Arial Narrow"/>
          <w:color w:val="000000"/>
          <w:sz w:val="26"/>
          <w:szCs w:val="26"/>
        </w:rPr>
        <w:t xml:space="preserve">o. </w:t>
      </w: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D7AC5" w:rsidRDefault="007D7AC5">
      <w:pPr>
        <w:jc w:val="both"/>
        <w:rPr>
          <w:rFonts w:ascii="Arial Narrow" w:eastAsia="Calibri" w:hAnsi="Arial Narrow" w:cs="Trebuchet MS"/>
          <w:color w:val="000000"/>
          <w:sz w:val="26"/>
          <w:szCs w:val="26"/>
          <w:lang w:eastAsia="es-ES"/>
        </w:rPr>
      </w:pPr>
    </w:p>
    <w:p w:rsidR="007D7AC5" w:rsidRDefault="007D7AC5">
      <w:pPr>
        <w:jc w:val="both"/>
        <w:rPr>
          <w:rFonts w:ascii="Arial Narrow" w:hAnsi="Arial Narrow"/>
          <w:sz w:val="26"/>
          <w:szCs w:val="26"/>
        </w:rPr>
      </w:pP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7D7AC5" w:rsidRDefault="007D7AC5">
      <w:pPr>
        <w:pStyle w:val="Textoindependiente"/>
        <w:spacing w:after="0" w:line="240" w:lineRule="auto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7D7AC5" w:rsidRDefault="007D7AC5">
      <w:pPr>
        <w:pStyle w:val="Textoindependiente"/>
        <w:spacing w:line="240" w:lineRule="auto"/>
        <w:jc w:val="both"/>
        <w:rPr>
          <w:rFonts w:ascii="Arial Narrow" w:hAnsi="Arial Narrow"/>
          <w:b/>
          <w:bCs/>
          <w:sz w:val="26"/>
          <w:szCs w:val="26"/>
        </w:rPr>
      </w:pPr>
    </w:p>
    <w:sectPr w:rsidR="007D7AC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5098">
      <w:r>
        <w:separator/>
      </w:r>
    </w:p>
  </w:endnote>
  <w:endnote w:type="continuationSeparator" w:id="0">
    <w:p w:rsidR="00000000" w:rsidRDefault="0055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umanst521 Lt BT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5098">
      <w:r>
        <w:separator/>
      </w:r>
    </w:p>
  </w:footnote>
  <w:footnote w:type="continuationSeparator" w:id="0">
    <w:p w:rsidR="00000000" w:rsidRDefault="0055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AC5" w:rsidRDefault="00555098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7AC5" w:rsidRDefault="007D7A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C5"/>
    <w:rsid w:val="00555098"/>
    <w:rsid w:val="007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76B68-97C9-47B4-9207-65B3C55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body">
    <w:name w:val="Text body"/>
    <w:basedOn w:val="Standard"/>
    <w:qFormat/>
    <w:rPr>
      <w:rFonts w:ascii="Humanst521 Lt BT" w:hAnsi="Humanst521 Lt BT" w:cs="Humanst521 Lt BT"/>
      <w:sz w:val="2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4124-71B2-4BE7-A6E7-0A10FF81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912</Words>
  <Characters>5018</Characters>
  <Application>Microsoft Office Word</Application>
  <DocSecurity>0</DocSecurity>
  <Lines>41</Lines>
  <Paragraphs>11</Paragraphs>
  <ScaleCrop>false</ScaleCrop>
  <Company>Aytojerez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cp:lastPrinted>2026-01-05T09:55:00Z</cp:lastPrinted>
  <dcterms:created xsi:type="dcterms:W3CDTF">2026-01-19T10:48:00Z</dcterms:created>
  <dcterms:modified xsi:type="dcterms:W3CDTF">2026-01-20T11:39:00Z</dcterms:modified>
  <dc:language>es-ES</dc:language>
</cp:coreProperties>
</file>