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DE" w:rsidRDefault="002F34DE">
      <w:pPr>
        <w:rPr>
          <w:rFonts w:ascii="Arial Narrow" w:hAnsi="Arial Narrow"/>
          <w:color w:val="000000"/>
          <w:sz w:val="26"/>
          <w:szCs w:val="26"/>
        </w:rPr>
      </w:pPr>
    </w:p>
    <w:p w:rsidR="002F34DE" w:rsidRDefault="005C0CD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La Comisión Local de Patrimonio da su visto bueno al proyecto de terminación del Museo del Flamenco de Andalucía</w:t>
      </w:r>
    </w:p>
    <w:p w:rsidR="002F34DE" w:rsidRDefault="002F34DE">
      <w:pPr>
        <w:rPr>
          <w:rFonts w:ascii="Arial Narrow" w:hAnsi="Arial Narrow"/>
          <w:b/>
          <w:bCs/>
        </w:rPr>
      </w:pPr>
    </w:p>
    <w:p w:rsidR="002F34DE" w:rsidRDefault="005C0CD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21</w:t>
      </w:r>
      <w:r>
        <w:rPr>
          <w:rFonts w:ascii="Arial Narrow" w:hAnsi="Arial Narrow"/>
          <w:b/>
          <w:bCs/>
          <w:sz w:val="26"/>
          <w:szCs w:val="26"/>
        </w:rPr>
        <w:t xml:space="preserve"> de enero de 2026. </w:t>
      </w:r>
      <w:r>
        <w:rPr>
          <w:rFonts w:ascii="Arial Narrow" w:hAnsi="Arial Narrow" w:cstheme="minorHAnsi"/>
          <w:sz w:val="26"/>
          <w:szCs w:val="26"/>
        </w:rPr>
        <w:t>La Comisión Local de Patrimonio Histórico ha autorizado el  proyecto básico reformado de terminación del Museo del Flamenco de Andalucía y Centro Andaluz de Documentación del Flamenco, que ha sido redactado por los servicios técnicos de la Junta de Andaluc</w:t>
      </w:r>
      <w:r>
        <w:rPr>
          <w:rFonts w:ascii="Arial Narrow" w:hAnsi="Arial Narrow" w:cstheme="minorHAnsi"/>
          <w:sz w:val="26"/>
          <w:szCs w:val="26"/>
        </w:rPr>
        <w:t>ía. Con este dictamen favorable, “damos un paso importante para hacer realidad uno de los proyectos culturales más emblemáticos de Jerez y de toda Andalucía, cuyas obras se iniciaron en 2021 y quedaron paralizadas en 2024 por el abandono de la anterior emp</w:t>
      </w:r>
      <w:r>
        <w:rPr>
          <w:rFonts w:ascii="Arial Narrow" w:hAnsi="Arial Narrow" w:cstheme="minorHAnsi"/>
          <w:sz w:val="26"/>
          <w:szCs w:val="26"/>
        </w:rPr>
        <w:t xml:space="preserve">resa concesionaria”, ha recordado el teniente de alcaldesa, Agustín Muñoz, que ha presidido la sesión, junto con la delegada de Vivienda y Urbanismo, Belén de la Cuadra. </w:t>
      </w:r>
    </w:p>
    <w:p w:rsidR="002F34DE" w:rsidRDefault="002F34DE">
      <w:pPr>
        <w:jc w:val="both"/>
        <w:rPr>
          <w:rFonts w:ascii="Arial Narrow" w:hAnsi="Arial Narrow"/>
          <w:sz w:val="26"/>
          <w:szCs w:val="26"/>
        </w:rPr>
      </w:pPr>
    </w:p>
    <w:p w:rsidR="002F34DE" w:rsidRDefault="005C0CD5">
      <w:pPr>
        <w:jc w:val="both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Agustín Muñoz ha agradecido a la Junta de Andalucía su </w:t>
      </w:r>
      <w:r>
        <w:rPr>
          <w:rFonts w:ascii="Arial Narrow" w:hAnsi="Arial Narrow" w:cstheme="minorHAnsi"/>
          <w:sz w:val="26"/>
          <w:szCs w:val="26"/>
        </w:rPr>
        <w:t>compromiso con este proyec</w:t>
      </w:r>
      <w:r>
        <w:rPr>
          <w:rFonts w:ascii="Arial Narrow" w:hAnsi="Arial Narrow" w:cstheme="minorHAnsi"/>
          <w:sz w:val="26"/>
          <w:szCs w:val="26"/>
        </w:rPr>
        <w:t>to, para cuya reactivación, la administración autonómica ha consignado una partida de 600.000 euros en sus presupuestos de 2026. “Lo importante es que la Consejería es firme en la</w:t>
      </w:r>
      <w:bookmarkStart w:id="0" w:name="_GoBack"/>
      <w:bookmarkEnd w:id="0"/>
      <w:r>
        <w:rPr>
          <w:rFonts w:ascii="Arial Narrow" w:hAnsi="Arial Narrow" w:cstheme="minorHAnsi"/>
          <w:sz w:val="26"/>
          <w:szCs w:val="26"/>
        </w:rPr>
        <w:t xml:space="preserve"> determinación de retomar estas obras en el menor plazo posible y de ir avanzand</w:t>
      </w:r>
      <w:r>
        <w:rPr>
          <w:rFonts w:ascii="Arial Narrow" w:hAnsi="Arial Narrow" w:cstheme="minorHAnsi"/>
          <w:sz w:val="26"/>
          <w:szCs w:val="26"/>
        </w:rPr>
        <w:t>o en la tramitación de este proyecto de terminación, que ya cuenta con el visto bueno de esta Comisión, y que pronto trasladaremos a la Junta de Gobierno Local para que otorgue la correspondiente licencia de obras, y la Junta pueda iniciar su ejecución”.</w:t>
      </w: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5C0CD5">
      <w:pPr>
        <w:jc w:val="both"/>
      </w:pPr>
      <w:r>
        <w:rPr>
          <w:rFonts w:ascii="Arial Narrow" w:hAnsi="Arial Narrow" w:cstheme="minorHAnsi"/>
          <w:sz w:val="26"/>
          <w:szCs w:val="26"/>
        </w:rPr>
        <w:t>En este sentido, el primer teniente de alcaldesa ha destacado “que, como ocurre con otros muchos proyectos que son buenos para Jerez, la estrecha colaboración, el diálogo permanente y el entendimiento entre las dos administraciones están siendo fundamental</w:t>
      </w:r>
      <w:r>
        <w:rPr>
          <w:rFonts w:ascii="Arial Narrow" w:hAnsi="Arial Narrow" w:cstheme="minorHAnsi"/>
          <w:sz w:val="26"/>
          <w:szCs w:val="26"/>
        </w:rPr>
        <w:t xml:space="preserve">es para planificar acciones conjuntas y tomar decisiones que redunden en una gestión más ágil y eficaz”, ha señalado. </w:t>
      </w: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5C0CD5">
      <w:pPr>
        <w:jc w:val="both"/>
      </w:pPr>
      <w:r>
        <w:rPr>
          <w:rFonts w:ascii="Arial Narrow" w:hAnsi="Arial Narrow" w:cstheme="minorHAnsi"/>
          <w:sz w:val="26"/>
          <w:szCs w:val="26"/>
        </w:rPr>
        <w:t xml:space="preserve">Este proyecto básico conlleva todas las actuaciones necesarias para la finalización del Museo del Flamenco e incluye, además, una serie </w:t>
      </w:r>
      <w:r>
        <w:rPr>
          <w:rFonts w:ascii="Arial Narrow" w:hAnsi="Arial Narrow" w:cstheme="minorHAnsi"/>
          <w:sz w:val="26"/>
          <w:szCs w:val="26"/>
        </w:rPr>
        <w:t xml:space="preserve">de obras de urbanización en espacios libres y viales públicos colindantes, y concretamente en un conjunto de fincas situadas en torno a las calles Doctor Lillo, </w:t>
      </w:r>
      <w:proofErr w:type="spellStart"/>
      <w:r>
        <w:rPr>
          <w:rFonts w:ascii="Arial Narrow" w:hAnsi="Arial Narrow" w:cstheme="minorHAnsi"/>
          <w:sz w:val="26"/>
          <w:szCs w:val="26"/>
        </w:rPr>
        <w:t>Rompechapines</w:t>
      </w:r>
      <w:proofErr w:type="spellEnd"/>
      <w:r>
        <w:rPr>
          <w:rFonts w:ascii="Arial Narrow" w:hAnsi="Arial Narrow" w:cstheme="minorHAnsi"/>
          <w:sz w:val="26"/>
          <w:szCs w:val="26"/>
        </w:rPr>
        <w:t xml:space="preserve"> y Barranco, en el que se incluyen, además, las de las calles Barranco, 6 y 8; Doc</w:t>
      </w:r>
      <w:r>
        <w:rPr>
          <w:rFonts w:ascii="Arial Narrow" w:hAnsi="Arial Narrow" w:cstheme="minorHAnsi"/>
          <w:sz w:val="26"/>
          <w:szCs w:val="26"/>
        </w:rPr>
        <w:t>tor Lillo, 3 duplicado, Doctor Lillo, 4, Plaza Peones, 8.</w:t>
      </w: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5C0CD5">
      <w:pPr>
        <w:jc w:val="both"/>
      </w:pPr>
      <w:r>
        <w:rPr>
          <w:rFonts w:ascii="Arial Narrow" w:hAnsi="Arial Narrow" w:cstheme="minorHAnsi"/>
          <w:sz w:val="26"/>
          <w:szCs w:val="26"/>
        </w:rPr>
        <w:t>La propuesta presentada contempla una serie de modificaciones técnicas sobre el proyecto aprobado, entre las que se incluyen cambios de ubicación de dependencias, creación de nuevas instalaciones d</w:t>
      </w:r>
      <w:r>
        <w:rPr>
          <w:rFonts w:ascii="Arial Narrow" w:hAnsi="Arial Narrow" w:cstheme="minorHAnsi"/>
          <w:sz w:val="26"/>
          <w:szCs w:val="26"/>
        </w:rPr>
        <w:t xml:space="preserve">e servicios, actuaciones varias en fachadas, sustitución de elementos de carpintería y albañilería, reorganización de espacios y de determinados accesos, entre otras. </w:t>
      </w: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p w:rsidR="002F34DE" w:rsidRDefault="002F34DE">
      <w:pPr>
        <w:jc w:val="both"/>
        <w:rPr>
          <w:rFonts w:ascii="Arial Narrow" w:hAnsi="Arial Narrow" w:cstheme="minorHAnsi"/>
          <w:sz w:val="26"/>
          <w:szCs w:val="26"/>
        </w:rPr>
      </w:pPr>
    </w:p>
    <w:sectPr w:rsidR="002F34D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0CD5">
      <w:r>
        <w:separator/>
      </w:r>
    </w:p>
  </w:endnote>
  <w:endnote w:type="continuationSeparator" w:id="0">
    <w:p w:rsidR="00000000" w:rsidRDefault="005C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0CD5">
      <w:r>
        <w:separator/>
      </w:r>
    </w:p>
  </w:footnote>
  <w:footnote w:type="continuationSeparator" w:id="0">
    <w:p w:rsidR="00000000" w:rsidRDefault="005C0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DE" w:rsidRDefault="005C0CD5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4DE" w:rsidRDefault="002F34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DE"/>
    <w:rsid w:val="002F34DE"/>
    <w:rsid w:val="005C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7690-95E8-41D1-A612-200F4A44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402</Words>
  <Characters>2216</Characters>
  <Application>Microsoft Office Word</Application>
  <DocSecurity>0</DocSecurity>
  <Lines>18</Lines>
  <Paragraphs>5</Paragraphs>
  <ScaleCrop>false</ScaleCrop>
  <Company>Aytojerez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19</cp:revision>
  <cp:lastPrinted>2026-01-05T09:55:00Z</cp:lastPrinted>
  <dcterms:created xsi:type="dcterms:W3CDTF">2026-01-07T10:37:00Z</dcterms:created>
  <dcterms:modified xsi:type="dcterms:W3CDTF">2026-01-21T07:44:00Z</dcterms:modified>
  <dc:language>es-ES</dc:language>
</cp:coreProperties>
</file>