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color w:val="000000"/>
          <w:sz w:val="26"/>
          <w:szCs w:val="26"/>
        </w:rPr>
      </w:pPr>
      <w:r>
        <w:rPr>
          <w:rFonts w:ascii="Arial Narrow" w:hAnsi="Arial Narrow"/>
          <w:color w:val="000000"/>
          <w:sz w:val="26"/>
          <w:szCs w:val="26"/>
        </w:rPr>
      </w:r>
    </w:p>
    <w:p>
      <w:pPr>
        <w:pStyle w:val="BodyText"/>
        <w:spacing w:lineRule="auto" w:line="240"/>
        <w:rPr/>
      </w:pPr>
      <w:r>
        <w:rPr>
          <w:rFonts w:ascii="Arial Narrow" w:hAnsi="Arial Narrow"/>
          <w:b/>
          <w:bCs/>
          <w:color w:val="000000"/>
          <w:sz w:val="40"/>
          <w:szCs w:val="26"/>
        </w:rPr>
        <w:t>El Pleno aprueba la ordenación de los suelos de la antigua Azucarera-San Jerónimo, con capacidad para un máximo de 338 viviendas, de las cuales 119 serían protegidas</w:t>
      </w:r>
    </w:p>
    <w:p>
      <w:pPr>
        <w:pStyle w:val="BodyText"/>
        <w:spacing w:lineRule="auto" w:line="240" w:before="0" w:after="0"/>
        <w:jc w:val="both"/>
        <w:rPr>
          <w:rFonts w:ascii="Arial Narrow" w:hAnsi="Arial Narrow"/>
          <w:sz w:val="26"/>
          <w:szCs w:val="26"/>
        </w:rPr>
      </w:pPr>
      <w:r>
        <w:rPr>
          <w:rFonts w:ascii="Arial Narrow" w:hAnsi="Arial Narrow"/>
          <w:sz w:val="26"/>
          <w:szCs w:val="26"/>
        </w:rPr>
      </w:r>
    </w:p>
    <w:p>
      <w:pPr>
        <w:pStyle w:val="BodyText"/>
        <w:spacing w:lineRule="auto" w:line="240" w:before="0" w:after="0"/>
        <w:jc w:val="both"/>
        <w:rPr>
          <w:rFonts w:ascii="Arial Narrow" w:hAnsi="Arial Narrow"/>
          <w:sz w:val="26"/>
          <w:szCs w:val="26"/>
        </w:rPr>
      </w:pPr>
      <w:r>
        <w:rPr>
          <w:rFonts w:ascii="Arial Narrow" w:hAnsi="Arial Narrow"/>
          <w:b/>
          <w:bCs/>
          <w:color w:val="000000"/>
          <w:sz w:val="26"/>
          <w:szCs w:val="26"/>
        </w:rPr>
        <w:t xml:space="preserve">27 de febrero de 2026. </w:t>
      </w:r>
      <w:r>
        <w:rPr>
          <w:rFonts w:ascii="Arial Narrow" w:hAnsi="Arial Narrow"/>
          <w:color w:val="auto"/>
          <w:sz w:val="26"/>
          <w:szCs w:val="26"/>
        </w:rPr>
        <w:t xml:space="preserve">El Pleno ha aprobado de manera definitiva el Estudio de Detalle del A.R.I. D-01 Azucarera – San Jerónimo </w:t>
      </w:r>
      <w:r>
        <w:rPr>
          <w:rFonts w:eastAsia="Times New Roman" w:cs="Times New Roman" w:ascii="Arial Narrow" w:hAnsi="Arial Narrow"/>
          <w:color w:val="auto"/>
          <w:sz w:val="26"/>
          <w:szCs w:val="26"/>
          <w:lang w:eastAsia="es-ES_tradnl"/>
        </w:rPr>
        <w:t xml:space="preserve">que integra los suelos de la antigua Azucarera del mismo nombre, que suman una superficie bruta de </w:t>
      </w:r>
      <w:r>
        <w:rPr>
          <w:rFonts w:cs="Century Gothic" w:ascii="Arial Narrow" w:hAnsi="Arial Narrow"/>
          <w:color w:val="auto"/>
          <w:spacing w:val="-3"/>
          <w:sz w:val="26"/>
          <w:szCs w:val="26"/>
        </w:rPr>
        <w:t xml:space="preserve">unos 52.000 metros cuadrados y que tienen capacidad para un máximo de 338 viviendas, de las cuales un mínimo de 119 serían vivienda protegida. </w:t>
      </w:r>
    </w:p>
    <w:p>
      <w:pPr>
        <w:pStyle w:val="BodyText"/>
        <w:spacing w:lineRule="auto" w:line="240" w:before="0" w:after="0"/>
        <w:jc w:val="both"/>
        <w:rPr>
          <w:rFonts w:ascii="Arial Narrow" w:hAnsi="Arial Narrow"/>
          <w:color w:val="auto"/>
          <w:sz w:val="26"/>
          <w:szCs w:val="26"/>
        </w:rPr>
      </w:pPr>
      <w:r>
        <w:rPr>
          <w:rFonts w:ascii="Arial Narrow" w:hAnsi="Arial Narrow"/>
          <w:color w:val="auto"/>
          <w:sz w:val="26"/>
          <w:szCs w:val="26"/>
        </w:rPr>
      </w:r>
    </w:p>
    <w:p>
      <w:pPr>
        <w:pStyle w:val="Normal"/>
        <w:jc w:val="both"/>
        <w:rPr>
          <w:color w:val="auto"/>
        </w:rPr>
      </w:pPr>
      <w:r>
        <w:rPr>
          <w:rFonts w:cs="Century Gothic" w:ascii="Arial Narrow" w:hAnsi="Arial Narrow"/>
          <w:color w:val="auto"/>
          <w:spacing w:val="-4"/>
          <w:sz w:val="26"/>
          <w:szCs w:val="26"/>
        </w:rPr>
        <w:t xml:space="preserve">El  ámbito del ARI D-01-Azucarera San Jerónimo contempla una edificabilidad máxima de superior a 38.000 metros cuadrados, con una superficie destinada a espacio libre público de alrededor de 7.000 metros cuadrados y una superficie de equipamiento público de 1.350 metros cuadrados. </w:t>
      </w:r>
    </w:p>
    <w:p>
      <w:pPr>
        <w:pStyle w:val="Normal"/>
        <w:jc w:val="both"/>
        <w:rPr>
          <w:color w:val="auto"/>
        </w:rPr>
      </w:pPr>
      <w:r>
        <w:rPr>
          <w:color w:val="auto"/>
        </w:rPr>
      </w:r>
    </w:p>
    <w:p>
      <w:pPr>
        <w:pStyle w:val="Normal"/>
        <w:jc w:val="both"/>
        <w:rPr>
          <w:color w:val="auto"/>
        </w:rPr>
      </w:pPr>
      <w:r>
        <w:rPr>
          <w:rFonts w:cs="Century Gothic" w:ascii="Arial Narrow" w:hAnsi="Arial Narrow"/>
          <w:color w:val="auto"/>
          <w:spacing w:val="-3"/>
          <w:sz w:val="26"/>
          <w:szCs w:val="26"/>
        </w:rPr>
        <w:t xml:space="preserve">La tramitación de este expediente, que va a propiciar el desarrollo urbanístico de esta zona, se inició el pasado mes de agosto a instancias de la entidad propietaria única de la totalidad de los suelos, Goframa Home S.L; el primer paso, como ha recordado la delegada de Vivienda y Urbanismo, Belén de la Cuadra, fue establecer, por acuerdo de Junta de Gobierno Local, el sistema de actuación mediante el cual se desarrollará este ámbito incluido en el PGOU de Jerez,  que será el de compensación. </w:t>
      </w:r>
    </w:p>
    <w:p>
      <w:pPr>
        <w:pStyle w:val="Normal"/>
        <w:jc w:val="both"/>
        <w:rPr>
          <w:rFonts w:ascii="Arial Narrow" w:hAnsi="Arial Narrow"/>
          <w:color w:val="auto"/>
          <w:sz w:val="26"/>
          <w:szCs w:val="26"/>
        </w:rPr>
      </w:pPr>
      <w:r>
        <w:rPr>
          <w:rFonts w:ascii="Arial Narrow" w:hAnsi="Arial Narrow"/>
          <w:color w:val="auto"/>
          <w:sz w:val="26"/>
          <w:szCs w:val="26"/>
        </w:rPr>
      </w:r>
    </w:p>
    <w:p>
      <w:pPr>
        <w:pStyle w:val="Normal"/>
        <w:jc w:val="both"/>
        <w:rPr>
          <w:color w:val="auto"/>
        </w:rPr>
      </w:pPr>
      <w:r>
        <w:rPr>
          <w:rFonts w:cs="Century Gothic" w:ascii="Arial Narrow" w:hAnsi="Arial Narrow"/>
          <w:strike w:val="false"/>
          <w:dstrike w:val="false"/>
          <w:color w:val="auto"/>
          <w:spacing w:val="-3"/>
          <w:sz w:val="26"/>
          <w:szCs w:val="26"/>
          <w:u w:val="none"/>
        </w:rPr>
        <w:t xml:space="preserve">El siguiente </w:t>
      </w:r>
      <w:r>
        <w:rPr>
          <w:rFonts w:cs="Century Gothic" w:ascii="Arial Narrow" w:hAnsi="Arial Narrow"/>
          <w:strike w:val="false"/>
          <w:dstrike w:val="false"/>
          <w:color w:val="auto"/>
          <w:spacing w:val="-3"/>
          <w:sz w:val="26"/>
          <w:szCs w:val="26"/>
          <w:u w:val="none"/>
        </w:rPr>
        <w:t>avance</w:t>
      </w:r>
      <w:r>
        <w:rPr>
          <w:rFonts w:cs="Century Gothic" w:ascii="Arial Narrow" w:hAnsi="Arial Narrow"/>
          <w:strike w:val="false"/>
          <w:dstrike w:val="false"/>
          <w:color w:val="auto"/>
          <w:spacing w:val="-3"/>
          <w:sz w:val="26"/>
          <w:szCs w:val="26"/>
          <w:u w:val="none"/>
        </w:rPr>
        <w:t xml:space="preserve"> importante se </w:t>
      </w:r>
      <w:r>
        <w:rPr>
          <w:rFonts w:cs="Century Gothic" w:ascii="Arial Narrow" w:hAnsi="Arial Narrow"/>
          <w:strike w:val="false"/>
          <w:dstrike w:val="false"/>
          <w:color w:val="auto"/>
          <w:spacing w:val="-3"/>
          <w:sz w:val="26"/>
          <w:szCs w:val="26"/>
          <w:u w:val="none"/>
        </w:rPr>
        <w:t>produjo</w:t>
      </w:r>
      <w:r>
        <w:rPr>
          <w:rFonts w:cs="Century Gothic" w:ascii="Arial Narrow" w:hAnsi="Arial Narrow"/>
          <w:strike w:val="false"/>
          <w:dstrike w:val="false"/>
          <w:color w:val="auto"/>
          <w:spacing w:val="-3"/>
          <w:sz w:val="26"/>
          <w:szCs w:val="26"/>
          <w:u w:val="none"/>
        </w:rPr>
        <w:t xml:space="preserve"> e</w:t>
      </w:r>
      <w:r>
        <w:rPr>
          <w:rFonts w:cs="Century Gothic" w:ascii="Arial Narrow" w:hAnsi="Arial Narrow"/>
          <w:color w:val="auto"/>
          <w:spacing w:val="-3"/>
          <w:sz w:val="26"/>
          <w:szCs w:val="26"/>
        </w:rPr>
        <w:t xml:space="preserve">n octubre pasado con la aprobación inicial del correspondiente Estudio de Detalle, que fue sometido posteriormente al trámite de información pública, durante el cual no fue registrada alegación o manifestación alguna respecto al expediente, tal y como ha informado Belén de la Cuadra. </w:t>
      </w:r>
    </w:p>
    <w:p>
      <w:pPr>
        <w:pStyle w:val="Normal"/>
        <w:jc w:val="both"/>
        <w:rPr>
          <w:rFonts w:ascii="Arial Narrow" w:hAnsi="Arial Narrow"/>
          <w:color w:val="auto"/>
          <w:sz w:val="26"/>
          <w:szCs w:val="26"/>
        </w:rPr>
      </w:pPr>
      <w:r>
        <w:rPr>
          <w:rFonts w:ascii="Arial Narrow" w:hAnsi="Arial Narrow"/>
          <w:color w:val="auto"/>
          <w:sz w:val="26"/>
          <w:szCs w:val="26"/>
        </w:rPr>
      </w:r>
    </w:p>
    <w:p>
      <w:pPr>
        <w:pStyle w:val="Normal"/>
        <w:jc w:val="both"/>
        <w:rPr>
          <w:color w:val="auto"/>
        </w:rPr>
      </w:pPr>
      <w:r>
        <w:rPr>
          <w:rFonts w:ascii="Arial Narrow" w:hAnsi="Arial Narrow"/>
          <w:color w:val="auto"/>
          <w:sz w:val="26"/>
          <w:szCs w:val="26"/>
        </w:rPr>
        <w:t>Por lo tanto, y en palabras de la responsable de Urbanismo, “procede ahora la aprobación definitiva de este documento, dando así luz verde a la tramitación</w:t>
      </w:r>
      <w:r>
        <w:rPr>
          <w:rFonts w:cs="Century Gothic" w:ascii="Arial Narrow" w:hAnsi="Arial Narrow"/>
          <w:color w:val="auto"/>
          <w:spacing w:val="-3"/>
          <w:sz w:val="26"/>
          <w:szCs w:val="26"/>
        </w:rPr>
        <w:t xml:space="preserve"> de</w:t>
      </w:r>
      <w:r>
        <w:rPr>
          <w:rFonts w:ascii="Arial Narrow" w:hAnsi="Arial Narrow"/>
          <w:color w:val="auto"/>
          <w:spacing w:val="-4"/>
          <w:sz w:val="26"/>
          <w:szCs w:val="26"/>
        </w:rPr>
        <w:t xml:space="preserve"> los Proyectos de Reparcelación y de Urbanización que harán posible la ejecución de la urbanización de estos terrenos, y con ello,  la concesión de  licencias de obras de edificación”, ha explicado Belén de la Cuadra, quien ha agradecido a Goframa Home su apuesta por este proyecto, “que va en línea con nuestro objetivo de seguir dando cumplimiento al PGOU y de facilitar la puesta a disposición de suelos para viviendas, y de manera especial, para vivienda asequible</w:t>
      </w:r>
      <w:r>
        <w:rPr>
          <w:rFonts w:cs="Century Gothic" w:ascii="Arial Narrow" w:hAnsi="Arial Narrow"/>
          <w:color w:val="auto"/>
          <w:spacing w:val="-3"/>
          <w:sz w:val="26"/>
          <w:szCs w:val="26"/>
        </w:rPr>
        <w:t xml:space="preserve">”. </w:t>
      </w:r>
    </w:p>
    <w:p>
      <w:pPr>
        <w:pStyle w:val="Normal"/>
        <w:jc w:val="both"/>
        <w:rPr>
          <w:rFonts w:ascii="Arial Narrow" w:hAnsi="Arial Narrow" w:cs="Century Gothic"/>
          <w:color w:val="auto"/>
          <w:spacing w:val="-3"/>
          <w:sz w:val="26"/>
          <w:szCs w:val="26"/>
        </w:rPr>
      </w:pPr>
      <w:r>
        <w:rPr>
          <w:rFonts w:cs="Century Gothic" w:ascii="Arial Narrow" w:hAnsi="Arial Narrow"/>
          <w:color w:val="auto"/>
          <w:spacing w:val="-3"/>
          <w:sz w:val="26"/>
          <w:szCs w:val="26"/>
        </w:rPr>
      </w:r>
    </w:p>
    <w:p>
      <w:pPr>
        <w:pStyle w:val="Normal"/>
        <w:jc w:val="both"/>
        <w:rPr>
          <w:color w:val="auto"/>
        </w:rPr>
      </w:pPr>
      <w:r>
        <w:rPr>
          <w:rFonts w:cs="Century Gothic" w:ascii="Arial Narrow" w:hAnsi="Arial Narrow"/>
          <w:color w:val="auto"/>
          <w:spacing w:val="-3"/>
          <w:sz w:val="26"/>
          <w:szCs w:val="26"/>
        </w:rPr>
        <w:t xml:space="preserve">Cabe recordar que, según la información aportada por </w:t>
      </w:r>
      <w:r>
        <w:rPr>
          <w:rFonts w:ascii="Arial Narrow" w:hAnsi="Arial Narrow"/>
          <w:color w:val="auto"/>
          <w:spacing w:val="-4"/>
          <w:sz w:val="26"/>
          <w:szCs w:val="26"/>
        </w:rPr>
        <w:t xml:space="preserve">el promotor, Goframa Homes SL y el gestor, Nuevo Impulso Inmobiliario SL, la previsión es construir, en cuatro fases, un total de “167 viviendas en bloque de renta libre; 32 viviendas pareadas; 20 viviendas adosadas y 119 viviendas protegidas en bloque con locales comerciales; además está prevista una manzana para uso terciario o comercial que le dará una gran relevancia y servicios a los futuros residentes”. </w:t>
      </w:r>
    </w:p>
    <w:p>
      <w:pPr>
        <w:pStyle w:val="Normal"/>
        <w:jc w:val="both"/>
        <w:rPr>
          <w:rFonts w:ascii="Arial Narrow" w:hAnsi="Arial Narrow" w:cs="Century Gothic"/>
          <w:color w:val="auto"/>
          <w:spacing w:val="-3"/>
          <w:sz w:val="26"/>
          <w:szCs w:val="26"/>
        </w:rPr>
      </w:pPr>
      <w:r>
        <w:rPr>
          <w:rFonts w:cs="Century Gothic" w:ascii="Arial Narrow" w:hAnsi="Arial Narrow"/>
          <w:color w:val="auto"/>
          <w:spacing w:val="-3"/>
          <w:sz w:val="26"/>
          <w:szCs w:val="26"/>
        </w:rPr>
      </w:r>
    </w:p>
    <w:p>
      <w:pPr>
        <w:pStyle w:val="Normal"/>
        <w:spacing w:lineRule="auto" w:line="240"/>
        <w:jc w:val="both"/>
        <w:rPr>
          <w:color w:val="auto"/>
        </w:rPr>
      </w:pPr>
      <w:r>
        <w:rPr>
          <w:rFonts w:cs="Century Gothic" w:ascii="Arial Narrow" w:hAnsi="Arial Narrow"/>
          <w:b/>
          <w:bCs/>
          <w:color w:val="auto"/>
          <w:spacing w:val="-3"/>
          <w:sz w:val="26"/>
          <w:szCs w:val="26"/>
        </w:rPr>
        <w:t>Aprobación de un proyecto para una nueva actividad de enoturismo</w:t>
      </w:r>
    </w:p>
    <w:p>
      <w:pPr>
        <w:pStyle w:val="Normal"/>
        <w:spacing w:lineRule="auto" w:line="240"/>
        <w:jc w:val="both"/>
        <w:rPr>
          <w:rFonts w:ascii="Arial Narrow" w:hAnsi="Arial Narrow" w:cs="Century Gothic"/>
          <w:color w:val="auto"/>
          <w:spacing w:val="-3"/>
          <w:sz w:val="26"/>
          <w:szCs w:val="26"/>
        </w:rPr>
      </w:pPr>
      <w:r>
        <w:rPr>
          <w:rFonts w:cs="Century Gothic" w:ascii="Arial Narrow" w:hAnsi="Arial Narrow"/>
          <w:color w:val="auto"/>
          <w:spacing w:val="-3"/>
          <w:sz w:val="26"/>
          <w:szCs w:val="26"/>
        </w:rPr>
      </w:r>
    </w:p>
    <w:p>
      <w:pPr>
        <w:pStyle w:val="Normal"/>
        <w:spacing w:lineRule="auto" w:line="240"/>
        <w:jc w:val="both"/>
        <w:rPr>
          <w:color w:val="auto"/>
        </w:rPr>
      </w:pPr>
      <w:r>
        <w:rPr>
          <w:rFonts w:ascii="Arial Narrow" w:hAnsi="Arial Narrow"/>
          <w:color w:val="auto"/>
          <w:spacing w:val="-4"/>
          <w:sz w:val="26"/>
          <w:szCs w:val="26"/>
        </w:rPr>
        <w:t xml:space="preserve">También en materia urbanística, el Pleno ha aprobado el proyecto de actuación sobre suelo rústico para la adaptación parcial de un caserío destinado a la actividad de enoturismo, situado en Viña ágata </w:t>
      </w:r>
      <w:r>
        <w:rPr>
          <w:rFonts w:ascii="Arial Narrow" w:hAnsi="Arial Narrow"/>
          <w:b w:val="false"/>
          <w:bCs w:val="false"/>
          <w:i w:val="false"/>
          <w:caps w:val="false"/>
          <w:smallCaps w:val="false"/>
          <w:color w:val="auto"/>
          <w:spacing w:val="0"/>
          <w:sz w:val="26"/>
          <w:szCs w:val="26"/>
        </w:rPr>
        <w:t xml:space="preserve"> (antes Viña Bristol) LG SS Baldío de Luna polígono 146 parcela 5.</w:t>
      </w:r>
    </w:p>
    <w:p>
      <w:pPr>
        <w:pStyle w:val="Normal"/>
        <w:spacing w:lineRule="auto" w:line="240" w:before="0" w:after="0"/>
        <w:jc w:val="both"/>
        <w:rPr>
          <w:rFonts w:ascii="Arial Narrow" w:hAnsi="Arial Narrow"/>
          <w:color w:val="auto"/>
          <w:sz w:val="26"/>
          <w:szCs w:val="26"/>
        </w:rPr>
      </w:pPr>
      <w:r>
        <w:rPr>
          <w:rFonts w:ascii="Arial Narrow" w:hAnsi="Arial Narrow"/>
          <w:color w:val="auto"/>
          <w:sz w:val="26"/>
          <w:szCs w:val="26"/>
        </w:rPr>
      </w:r>
    </w:p>
    <w:p>
      <w:pPr>
        <w:pStyle w:val="Normal"/>
        <w:spacing w:lineRule="auto" w:line="240" w:before="0" w:after="0"/>
        <w:jc w:val="both"/>
        <w:rPr>
          <w:color w:val="auto"/>
        </w:rPr>
      </w:pPr>
      <w:r>
        <w:rPr>
          <w:rFonts w:ascii="Arial Narrow" w:hAnsi="Arial Narrow"/>
          <w:b w:val="false"/>
          <w:bCs w:val="false"/>
          <w:i w:val="false"/>
          <w:caps w:val="false"/>
          <w:smallCaps w:val="false"/>
          <w:color w:val="auto"/>
          <w:spacing w:val="0"/>
          <w:sz w:val="26"/>
          <w:szCs w:val="26"/>
        </w:rPr>
        <w:t>Belén de la Cuadra ha explicado que este acuerdo responde a la solicitud presentada por la entidad</w:t>
      </w:r>
      <w:r>
        <w:rPr>
          <w:rFonts w:ascii="Arial Narrow" w:hAnsi="Arial Narrow"/>
          <w:color w:val="auto"/>
          <w:sz w:val="26"/>
          <w:szCs w:val="26"/>
        </w:rPr>
        <w:t xml:space="preserve"> Agrícola Grupo Estévez SL para la tramitación y aprobación de este proyecto, situado en la Viña Ágata. Polígono146, parcela 5. Cuartillos. Tras ser informada por  los servicios técnicos y jurídicos de Urbanismo, se inició su tramitación y se sometió a información pública, notificándose de manera individualizada a las personas titulares de fincas colindantes a la finca objeto del proyecto de actuación. Una vez transcurrido el plazo del trámite de información pública y de audiencia a los interesados, no consta que se hayan presentado alegaciones ni reclamaciones. </w:t>
      </w:r>
    </w:p>
    <w:p>
      <w:pPr>
        <w:pStyle w:val="Normal"/>
        <w:spacing w:lineRule="auto" w:line="240" w:before="0" w:after="0"/>
        <w:jc w:val="both"/>
        <w:rPr>
          <w:rFonts w:ascii="Arial Narrow" w:hAnsi="Arial Narrow"/>
          <w:color w:val="auto"/>
          <w:sz w:val="26"/>
          <w:szCs w:val="26"/>
        </w:rPr>
      </w:pPr>
      <w:r>
        <w:rPr>
          <w:rFonts w:ascii="Arial Narrow" w:hAnsi="Arial Narrow"/>
          <w:color w:val="auto"/>
          <w:sz w:val="26"/>
          <w:szCs w:val="26"/>
        </w:rPr>
      </w:r>
    </w:p>
    <w:p>
      <w:pPr>
        <w:pStyle w:val="Normal"/>
        <w:spacing w:lineRule="auto" w:line="240" w:before="0" w:after="0"/>
        <w:jc w:val="both"/>
        <w:rPr>
          <w:color w:val="auto"/>
        </w:rPr>
      </w:pPr>
      <w:r>
        <w:rPr>
          <w:rFonts w:ascii="Arial Narrow" w:hAnsi="Arial Narrow"/>
          <w:color w:val="auto"/>
          <w:sz w:val="26"/>
          <w:szCs w:val="26"/>
        </w:rPr>
        <w:t xml:space="preserve">La finca rústica que será objeto de esta actuación tiene una extensión superficial aproximada de 171,88 hectáreas y se compone de varias edificaciones, entre ellas una nave agrícola, otra destinada a cuadras para doma y monta de caballos, y un caserío, en el que se pretenden llevar a cabo obras de  adaptación para Centro de Interpretación de Enoturismo. </w:t>
      </w:r>
    </w:p>
    <w:p>
      <w:pPr>
        <w:pStyle w:val="Normal"/>
        <w:spacing w:lineRule="auto" w:line="240" w:before="0" w:after="0"/>
        <w:jc w:val="both"/>
        <w:rPr>
          <w:rFonts w:ascii="Arial Narrow" w:hAnsi="Arial Narrow"/>
          <w:color w:val="auto"/>
          <w:sz w:val="26"/>
          <w:szCs w:val="26"/>
        </w:rPr>
      </w:pPr>
      <w:r>
        <w:rPr>
          <w:rFonts w:ascii="Arial Narrow" w:hAnsi="Arial Narrow"/>
          <w:color w:val="auto"/>
          <w:sz w:val="26"/>
          <w:szCs w:val="26"/>
        </w:rPr>
      </w:r>
    </w:p>
    <w:p>
      <w:pPr>
        <w:pStyle w:val="Normal"/>
        <w:spacing w:lineRule="auto" w:line="240" w:before="0" w:after="0"/>
        <w:jc w:val="both"/>
        <w:rPr>
          <w:color w:val="auto"/>
        </w:rPr>
      </w:pPr>
      <w:r>
        <w:rPr>
          <w:rFonts w:ascii="Arial Narrow" w:hAnsi="Arial Narrow"/>
          <w:color w:val="auto"/>
          <w:sz w:val="26"/>
          <w:szCs w:val="26"/>
        </w:rPr>
        <w:t xml:space="preserve">Con esta nueva actividad, sus promotores pretenden ampliar la oferta turística y cultural de la zona rural, colaborando al impulso a la conservación y protección de los recursos naturales entorno al viñedo de Jerez, y a la conversión del mismo en nuevo motor económico para la ciudad; igualmente, se persigue innovar aplicando un nuevo modelo de gestión a un recurso existente, en este caso una casa de viña que conforma una construcción típica del marco de Jerez, permitiendo que su mantenimiento sea viable desde el punto de vista económico. </w:t>
      </w:r>
    </w:p>
    <w:p>
      <w:pPr>
        <w:pStyle w:val="Normal"/>
        <w:spacing w:lineRule="auto" w:line="240" w:before="0" w:after="0"/>
        <w:jc w:val="both"/>
        <w:rPr>
          <w:rFonts w:ascii="Arial Narrow" w:hAnsi="Arial Narrow"/>
          <w:color w:val="auto"/>
          <w:sz w:val="26"/>
          <w:szCs w:val="26"/>
        </w:rPr>
      </w:pPr>
      <w:r>
        <w:rPr>
          <w:rFonts w:ascii="Arial Narrow" w:hAnsi="Arial Narrow"/>
          <w:color w:val="auto"/>
          <w:sz w:val="26"/>
          <w:szCs w:val="26"/>
        </w:rPr>
      </w:r>
    </w:p>
    <w:p>
      <w:pPr>
        <w:pStyle w:val="Normal"/>
        <w:spacing w:lineRule="auto" w:line="240" w:before="0" w:after="0"/>
        <w:jc w:val="both"/>
        <w:rPr>
          <w:color w:val="auto"/>
        </w:rPr>
      </w:pPr>
      <w:r>
        <w:rPr>
          <w:rFonts w:ascii="Arial Narrow" w:hAnsi="Arial Narrow"/>
          <w:color w:val="auto"/>
          <w:sz w:val="26"/>
          <w:szCs w:val="26"/>
        </w:rPr>
        <w:t xml:space="preserve">Con este proyecto, se busca, además impulsar la divulgación y el fomento del conocimiento de las actividades agrarias y ganaderas, fomentando el intercambio cultural entre el mundo rural y el urbano, colaborando con una mayor valoración por parte del ciudadano del patrimonio rural de la zona. </w:t>
      </w:r>
    </w:p>
    <w:p>
      <w:pPr>
        <w:pStyle w:val="Textopreformateado"/>
        <w:spacing w:lineRule="auto" w:line="240"/>
        <w:jc w:val="both"/>
        <w:rPr>
          <w:rFonts w:ascii="Arial Narrow" w:hAnsi="Arial Narrow"/>
          <w:color w:val="auto"/>
          <w:spacing w:val="-4"/>
          <w:sz w:val="26"/>
          <w:szCs w:val="26"/>
        </w:rPr>
      </w:pPr>
      <w:r>
        <w:rPr>
          <w:rFonts w:ascii="Arial Narrow" w:hAnsi="Arial Narrow"/>
          <w:color w:val="auto"/>
          <w:spacing w:val="-4"/>
          <w:sz w:val="26"/>
          <w:szCs w:val="26"/>
        </w:rPr>
      </w:r>
    </w:p>
    <w:p>
      <w:pPr>
        <w:pStyle w:val="P1"/>
        <w:spacing w:lineRule="auto" w:line="240"/>
        <w:rPr>
          <w:rFonts w:ascii="Arial Narrow" w:hAnsi="Arial Narrow"/>
          <w:color w:val="auto"/>
          <w:sz w:val="26"/>
          <w:szCs w:val="26"/>
        </w:rPr>
      </w:pPr>
      <w:r>
        <w:rPr>
          <w:rFonts w:ascii="Arial Narrow" w:hAnsi="Arial Narrow"/>
          <w:color w:val="auto"/>
          <w:sz w:val="26"/>
          <w:szCs w:val="26"/>
        </w:rPr>
      </w:r>
    </w:p>
    <w:p>
      <w:pPr>
        <w:pStyle w:val="Normal"/>
        <w:spacing w:lineRule="auto" w:line="240"/>
        <w:rPr>
          <w:rFonts w:ascii="Arial Narrow" w:hAnsi="Arial Narrow" w:cs="Arial" w:cstheme="majorHAnsi"/>
          <w:color w:val="auto"/>
          <w:sz w:val="26"/>
          <w:szCs w:val="26"/>
        </w:rPr>
      </w:pPr>
      <w:r>
        <w:rPr>
          <w:rFonts w:cs="Arial" w:cstheme="majorHAnsi" w:ascii="Arial Narrow" w:hAnsi="Arial Narrow"/>
          <w:color w:val="auto"/>
          <w:sz w:val="26"/>
          <w:szCs w:val="26"/>
        </w:rPr>
      </w:r>
    </w:p>
    <w:p>
      <w:pPr>
        <w:pStyle w:val="BodyText"/>
        <w:widowControl/>
        <w:spacing w:lineRule="auto" w:line="240" w:before="0" w:after="140"/>
        <w:ind w:hanging="0" w:left="0" w:right="0"/>
        <w:rPr>
          <w:rFonts w:ascii="Arial Narrow" w:hAnsi="Arial Narrow"/>
          <w:b w:val="false"/>
          <w:bCs w:val="false"/>
          <w:i w:val="false"/>
          <w:i w:val="false"/>
          <w:caps w:val="false"/>
          <w:smallCaps w:val="false"/>
          <w:color w:val="auto"/>
          <w:spacing w:val="0"/>
          <w:sz w:val="26"/>
          <w:szCs w:val="26"/>
        </w:rPr>
      </w:pPr>
      <w:r>
        <w:rPr>
          <w:rFonts w:ascii="Arial Narrow" w:hAnsi="Arial Narrow"/>
          <w:b w:val="false"/>
          <w:bCs w:val="false"/>
          <w:i w:val="false"/>
          <w:caps w:val="false"/>
          <w:smallCaps w:val="false"/>
          <w:color w:val="auto"/>
          <w:spacing w:val="0"/>
          <w:sz w:val="26"/>
          <w:szCs w:val="26"/>
        </w:rPr>
      </w:r>
    </w:p>
    <w:p>
      <w:pPr>
        <w:pStyle w:val="BodyText"/>
        <w:spacing w:lineRule="auto" w:line="240" w:before="0" w:after="140"/>
        <w:rPr>
          <w:rFonts w:ascii="Arial Narrow" w:hAnsi="Arial Narrow"/>
          <w:color w:val="auto"/>
          <w:sz w:val="26"/>
          <w:szCs w:val="26"/>
        </w:rPr>
      </w:pPr>
      <w:r>
        <w:rPr>
          <w:rFonts w:ascii="Arial Narrow" w:hAnsi="Arial Narrow"/>
          <w:color w:val="auto"/>
          <w:sz w:val="26"/>
          <w:szCs w:val="26"/>
        </w:rPr>
      </w:r>
    </w:p>
    <w:sectPr>
      <w:headerReference w:type="default" r:id="rId2"/>
      <w:type w:val="nextPage"/>
      <w:pgSz w:w="11906" w:h="16838"/>
      <w:pgMar w:left="1701" w:right="1529"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Century Gothic">
    <w:charset w:val="00"/>
    <w:family w:val="roman"/>
    <w:pitch w:val="variable"/>
  </w:font>
  <w:font w:name="Calibri">
    <w:charset w:val="00"/>
    <w:family w:val="roman"/>
    <w:pitch w:val="variable"/>
  </w:font>
  <w:font w:name="Courier New">
    <w:charset w:val="00"/>
    <w:family w:val="roman"/>
    <w:pitch w:val="variable"/>
  </w:font>
  <w:font w:name="Liberation Mono">
    <w:altName w:val="Courier New"/>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679440" cy="81661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120"/>
  <w:defaultTabStop w:val="708"/>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Heading1">
    <w:name w:val="Heading 1"/>
    <w:basedOn w:val="Title"/>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3">
    <w:name w:val="Heading 3"/>
    <w:basedOn w:val="Normal"/>
    <w:next w:val="Normal"/>
    <w:link w:val="Ttulo3Car"/>
    <w:uiPriority w:val="9"/>
    <w:semiHidden/>
    <w:unhideWhenUsed/>
    <w:qFormat/>
    <w:rsid w:val="00aa3a41"/>
    <w:pPr>
      <w:keepNext w:val="true"/>
      <w:keepLines/>
      <w:spacing w:before="40" w:after="0"/>
      <w:outlineLvl w:val="2"/>
    </w:pPr>
    <w:rPr>
      <w:rFonts w:ascii="Arial" w:hAnsi="Arial" w:eastAsia="DejaVu Sans" w:cs="DejaVu Sans" w:asciiTheme="majorHAnsi" w:cstheme="majorBidi" w:eastAsiaTheme="majorEastAsia" w:hAnsiTheme="majorHAnsi"/>
      <w:color w:themeColor="accent1" w:themeShade="7f" w:val="0B5101"/>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rPr>
      <w:color w:val="000080"/>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uiPriority w:val="22"/>
    <w:qFormat/>
    <w:rPr>
      <w:b/>
      <w:bCs/>
    </w:rPr>
  </w:style>
  <w:style w:type="character" w:styleId="Smbolosdenumeracin" w:customStyle="1">
    <w:name w:val="Símbolos de numeración"/>
    <w:qFormat/>
    <w:rPr/>
  </w:style>
  <w:style w:type="character" w:styleId="Emphasis">
    <w:name w:val="Emphasis"/>
    <w:qFormat/>
    <w:rPr>
      <w:i/>
      <w:iCs/>
    </w:rPr>
  </w:style>
  <w:style w:type="character" w:styleId="Bolos" w:customStyle="1">
    <w:name w:val="Bolos"/>
    <w:qFormat/>
    <w:rPr>
      <w:rFonts w:ascii="OpenSymbol" w:hAnsi="OpenSymbol" w:eastAsia="OpenSymbol" w:cs="OpenSymbol"/>
    </w:rPr>
  </w:style>
  <w:style w:type="character" w:styleId="FollowedHyperlink">
    <w:name w:val="FollowedHyperlink"/>
    <w:rPr>
      <w:color w:val="800080"/>
      <w:u w:val="single"/>
    </w:rPr>
  </w:style>
  <w:style w:type="character" w:styleId="Fuentedeprrafopredeter2" w:customStyle="1">
    <w:name w:val="Fuente de párrafo predeter.2"/>
    <w:qFormat/>
    <w:rPr/>
  </w:style>
  <w:style w:type="character" w:styleId="Ttulo3Car" w:customStyle="1">
    <w:name w:val="Título 3 Car"/>
    <w:basedOn w:val="DefaultParagraphFont"/>
    <w:uiPriority w:val="9"/>
    <w:semiHidden/>
    <w:qFormat/>
    <w:rsid w:val="00aa3a41"/>
    <w:rPr>
      <w:rFonts w:ascii="Arial" w:hAnsi="Arial" w:eastAsia="DejaVu Sans" w:cs="DejaVu Sans" w:asciiTheme="majorHAnsi" w:cstheme="majorBidi" w:eastAsiaTheme="majorEastAsia" w:hAnsiTheme="majorHAnsi"/>
      <w:color w:themeColor="accent1" w:themeShade="7f" w:val="0B5101"/>
    </w:rPr>
  </w:style>
  <w:style w:type="character" w:styleId="Citation-108" w:customStyle="1">
    <w:name w:val="citation-108"/>
    <w:basedOn w:val="DefaultParagraphFont"/>
    <w:qFormat/>
    <w:rsid w:val="00aa3a41"/>
    <w:rPr/>
  </w:style>
  <w:style w:type="character" w:styleId="Button-label" w:customStyle="1">
    <w:name w:val="button-label"/>
    <w:basedOn w:val="DefaultParagraphFont"/>
    <w:qFormat/>
    <w:rsid w:val="00aa3a41"/>
    <w:rPr/>
  </w:style>
  <w:style w:type="character" w:styleId="Citation-107" w:customStyle="1">
    <w:name w:val="citation-107"/>
    <w:basedOn w:val="DefaultParagraphFont"/>
    <w:qFormat/>
    <w:rsid w:val="00aa3a41"/>
    <w:rPr/>
  </w:style>
  <w:style w:type="character" w:styleId="Citation-106" w:customStyle="1">
    <w:name w:val="citation-106"/>
    <w:basedOn w:val="DefaultParagraphFont"/>
    <w:qFormat/>
    <w:rsid w:val="00aa3a41"/>
    <w:rPr/>
  </w:style>
  <w:style w:type="character" w:styleId="Citation-105" w:customStyle="1">
    <w:name w:val="citation-105"/>
    <w:basedOn w:val="DefaultParagraphFont"/>
    <w:qFormat/>
    <w:rsid w:val="00aa3a41"/>
    <w:rPr/>
  </w:style>
  <w:style w:type="character" w:styleId="Citation-104" w:customStyle="1">
    <w:name w:val="citation-104"/>
    <w:basedOn w:val="DefaultParagraphFont"/>
    <w:qFormat/>
    <w:rsid w:val="00aa3a41"/>
    <w:rPr/>
  </w:style>
  <w:style w:type="character" w:styleId="Citation-103" w:customStyle="1">
    <w:name w:val="citation-103"/>
    <w:basedOn w:val="DefaultParagraphFont"/>
    <w:qFormat/>
    <w:rsid w:val="00aa3a41"/>
    <w:rPr/>
  </w:style>
  <w:style w:type="character" w:styleId="Citation-102" w:customStyle="1">
    <w:name w:val="citation-102"/>
    <w:basedOn w:val="DefaultParagraphFont"/>
    <w:qFormat/>
    <w:rsid w:val="00aa3a41"/>
    <w:rPr/>
  </w:style>
  <w:style w:type="character" w:styleId="Citation-101" w:customStyle="1">
    <w:name w:val="citation-101"/>
    <w:basedOn w:val="DefaultParagraphFont"/>
    <w:qFormat/>
    <w:rsid w:val="00aa3a41"/>
    <w:rPr/>
  </w:style>
  <w:style w:type="character" w:styleId="Citation-100" w:customStyle="1">
    <w:name w:val="citation-100"/>
    <w:basedOn w:val="DefaultParagraphFont"/>
    <w:qFormat/>
    <w:rsid w:val="00aa3a41"/>
    <w:rPr/>
  </w:style>
  <w:style w:type="character" w:styleId="Citation-99" w:customStyle="1">
    <w:name w:val="citation-99"/>
    <w:basedOn w:val="DefaultParagraphFont"/>
    <w:qFormat/>
    <w:rsid w:val="00aa3a41"/>
    <w:rPr/>
  </w:style>
  <w:style w:type="character" w:styleId="Citation-98" w:customStyle="1">
    <w:name w:val="citation-98"/>
    <w:basedOn w:val="DefaultParagraphFont"/>
    <w:qFormat/>
    <w:rsid w:val="00aa3a41"/>
    <w:rPr/>
  </w:style>
  <w:style w:type="character" w:styleId="Citation-97" w:customStyle="1">
    <w:name w:val="citation-97"/>
    <w:basedOn w:val="DefaultParagraphFont"/>
    <w:qFormat/>
    <w:rsid w:val="00aa3a41"/>
    <w:rPr/>
  </w:style>
  <w:style w:type="character" w:styleId="Citation-96" w:customStyle="1">
    <w:name w:val="citation-96"/>
    <w:basedOn w:val="DefaultParagraphFont"/>
    <w:qFormat/>
    <w:rsid w:val="00aa3a41"/>
    <w:rPr/>
  </w:style>
  <w:style w:type="character" w:styleId="Citation-95" w:customStyle="1">
    <w:name w:val="citation-95"/>
    <w:basedOn w:val="DefaultParagraphFont"/>
    <w:qFormat/>
    <w:rsid w:val="00aa3a41"/>
    <w:rPr/>
  </w:style>
  <w:style w:type="character" w:styleId="Citation-94" w:customStyle="1">
    <w:name w:val="citation-94"/>
    <w:basedOn w:val="DefaultParagraphFont"/>
    <w:qFormat/>
    <w:rsid w:val="00aa3a41"/>
    <w:rPr/>
  </w:style>
  <w:style w:type="character" w:styleId="Citation-93" w:customStyle="1">
    <w:name w:val="citation-93"/>
    <w:basedOn w:val="DefaultParagraphFont"/>
    <w:qFormat/>
    <w:rsid w:val="00aa3a41"/>
    <w:rPr/>
  </w:style>
  <w:style w:type="character" w:styleId="Citation-92" w:customStyle="1">
    <w:name w:val="citation-92"/>
    <w:basedOn w:val="DefaultParagraphFont"/>
    <w:qFormat/>
    <w:rsid w:val="00aa3a41"/>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Caption11" w:customStyle="1">
    <w:name w:val="caption11"/>
    <w:basedOn w:val="Normal"/>
    <w:qFormat/>
    <w:pPr>
      <w:suppressLineNumbers/>
      <w:spacing w:before="120" w:after="120"/>
    </w:pPr>
    <w:rPr>
      <w:rFonts w:cs="Arial"/>
      <w:i/>
      <w:iCs/>
    </w:rPr>
  </w:style>
  <w:style w:type="paragraph" w:styleId="Caption111" w:customStyle="1">
    <w:name w:val="caption11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DejaVu San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uiPriority w:val="99"/>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uiPriority w:val="34"/>
    <w:qFormat/>
    <w:pPr>
      <w:spacing w:before="0" w:after="0"/>
      <w:ind w:lef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E6E6E6" w:themeColor="light2" w:themeShade="e6"/>
      </w:pBdr>
      <w:spacing w:before="100" w:after="100"/>
      <w:ind w:left="397" w:right="482"/>
    </w:pPr>
    <w:rPr>
      <w:color w:themeColor="background2" w:themeShade="80" w:val="808080"/>
    </w:rPr>
  </w:style>
  <w:style w:type="paragraph" w:styleId="Textosinformato1" w:customStyle="1">
    <w:name w:val="Texto sin formato1"/>
    <w:basedOn w:val="Normal"/>
    <w:qFormat/>
    <w:pPr/>
    <w:rPr>
      <w:rFonts w:ascii="Courier New" w:hAnsi="Courier New" w:cs="Courier New"/>
      <w:sz w:val="20"/>
      <w:szCs w:val="20"/>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Textopreformateado" w:customStyle="1">
    <w:name w:val="Texto preformateado"/>
    <w:basedOn w:val="Normal"/>
    <w:qFormat/>
    <w:pPr/>
    <w:rPr>
      <w:rFonts w:ascii="Liberation Mono" w:hAnsi="Liberation Mono" w:cs="Liberation Mono"/>
      <w:sz w:val="20"/>
    </w:rPr>
  </w:style>
  <w:style w:type="paragraph" w:styleId="Standard" w:customStyle="1">
    <w:name w:val="Standard"/>
    <w:qFormat/>
    <w:pPr>
      <w:widowControl/>
      <w:suppressAutoHyphens w:val="true"/>
      <w:bidi w:val="0"/>
      <w:spacing w:before="0" w:after="0"/>
      <w:jc w:val="left"/>
    </w:pPr>
    <w:rPr>
      <w:rFonts w:ascii="Times New Roman" w:hAnsi="Times New Roman" w:eastAsia="SimSun" w:cs="Times New Roman"/>
      <w:color w:val="000000"/>
      <w:kern w:val="2"/>
      <w:sz w:val="20"/>
      <w:szCs w:val="20"/>
      <w:lang w:val="es-ES" w:eastAsia="zh-CN" w:bidi="hi-IN"/>
    </w:rPr>
  </w:style>
  <w:style w:type="paragraph" w:styleId="Caption1111" w:customStyle="1">
    <w:name w:val="caption1111"/>
    <w:basedOn w:val="Normal"/>
    <w:qFormat/>
    <w:pPr>
      <w:suppressLineNumbers/>
      <w:spacing w:before="120" w:after="120"/>
    </w:pPr>
    <w:rPr>
      <w:i/>
      <w:iCs/>
    </w:rPr>
  </w:style>
  <w:style w:type="paragraph" w:styleId="TableParagraph" w:customStyle="1">
    <w:name w:val="Table Paragraph"/>
    <w:basedOn w:val="Normal"/>
    <w:qFormat/>
    <w:pPr>
      <w:spacing w:before="16" w:after="0"/>
      <w:ind w:left="107"/>
    </w:pPr>
    <w:rPr>
      <w:rFonts w:ascii="Calibri" w:hAnsi="Calibri" w:eastAsia="Calibri" w:cs="Calibri"/>
    </w:rPr>
  </w:style>
  <w:style w:type="paragraph" w:styleId="Lneahorizontal" w:customStyle="1">
    <w:name w:val="Línea horizontal"/>
    <w:basedOn w:val="Normal"/>
    <w:next w:val="BodyText"/>
    <w:qFormat/>
    <w:pPr>
      <w:suppressLineNumbers/>
      <w:pBdr>
        <w:bottom w:val="double" w:sz="2" w:space="0" w:color="808080"/>
      </w:pBdr>
      <w:spacing w:before="0" w:after="283"/>
    </w:pPr>
    <w:rPr>
      <w:sz w:val="12"/>
      <w:szCs w:val="12"/>
    </w:rPr>
  </w:style>
  <w:style w:type="paragraph" w:styleId="P1" w:customStyle="1">
    <w:name w:val="p1"/>
    <w:basedOn w:val="Normal"/>
    <w:qFormat/>
    <w:pPr/>
    <w:rPr>
      <w:rFonts w:ascii="Arial" w:hAnsi="Arial" w:eastAsia="Times New Roman" w:cs="Arial"/>
      <w:color w:val="00000A"/>
      <w:sz w:val="14"/>
      <w:szCs w:val="14"/>
      <w:lang w:eastAsia="es-ES_tradnl"/>
    </w:rPr>
  </w:style>
  <w:style w:type="numbering" w:styleId="NoList" w:default="1">
    <w:name w:val="No List"/>
    <w:uiPriority w:val="99"/>
    <w:semiHidden/>
    <w:unhideWhenUsed/>
    <w:qFormat/>
  </w:style>
  <w:style w:type="numbering" w:styleId="WW8Num71" w:customStyle="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112</TotalTime>
  <Application>LibreOffice/7.6.7.2$Windows_X86_64 LibreOffice_project/dd47e4b30cb7dab30588d6c79c651f218165e3c5</Application>
  <AppVersion>15.0000</AppVersion>
  <Pages>2</Pages>
  <Words>793</Words>
  <Characters>4132</Characters>
  <CharactersWithSpaces>4930</CharactersWithSpaces>
  <Paragraphs>14</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2008-04-18T08:06:00Z</dcterms:created>
  <dc:creator>framirez</dc:creator>
  <dc:description/>
  <dc:language>es-ES</dc:language>
  <cp:lastModifiedBy/>
  <cp:lastPrinted>2026-02-27T07:16:19Z</cp:lastPrinted>
  <dcterms:modified xsi:type="dcterms:W3CDTF">2026-02-27T10:06:42Z</dcterms:modified>
  <cp:revision>34</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