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887" w:rsidRDefault="00133049">
      <w:pPr>
        <w:pStyle w:val="NormalWeb"/>
        <w:spacing w:before="280" w:after="280"/>
      </w:pPr>
      <w:bookmarkStart w:id="0" w:name="_GoBack"/>
      <w:bookmarkEnd w:id="0"/>
      <w:r>
        <w:rPr>
          <w:rStyle w:val="Textoennegrita"/>
          <w:rFonts w:ascii="Arial Narrow" w:hAnsi="Arial Narrow"/>
          <w:sz w:val="38"/>
          <w:szCs w:val="38"/>
        </w:rPr>
        <w:t xml:space="preserve">Abierto </w:t>
      </w:r>
      <w:r w:rsidR="005509FE">
        <w:rPr>
          <w:rStyle w:val="Textoennegrita"/>
          <w:rFonts w:ascii="Arial Narrow" w:hAnsi="Arial Narrow"/>
          <w:sz w:val="38"/>
          <w:szCs w:val="38"/>
        </w:rPr>
        <w:t xml:space="preserve">el plazo para solicitar licencias de atracciones y actividades lúdicas, recreativas, comerciales y hosteleras desmontables en la Feria </w:t>
      </w:r>
    </w:p>
    <w:p w:rsidR="00BB6887" w:rsidRPr="00133049" w:rsidRDefault="00133049">
      <w:pPr>
        <w:pStyle w:val="NormalWeb"/>
        <w:spacing w:before="280" w:after="280"/>
        <w:jc w:val="both"/>
        <w:rPr>
          <w:rFonts w:ascii="Arial Narrow" w:hAnsi="Arial Narrow"/>
          <w:sz w:val="26"/>
          <w:szCs w:val="26"/>
        </w:rPr>
      </w:pPr>
      <w:r>
        <w:rPr>
          <w:rFonts w:ascii="Arial Narrow" w:hAnsi="Arial Narrow"/>
          <w:b/>
          <w:bCs/>
          <w:sz w:val="26"/>
          <w:szCs w:val="26"/>
        </w:rPr>
        <w:t>6</w:t>
      </w:r>
      <w:r w:rsidR="005509FE">
        <w:rPr>
          <w:rFonts w:ascii="Arial Narrow" w:hAnsi="Arial Narrow"/>
          <w:b/>
          <w:bCs/>
          <w:sz w:val="26"/>
          <w:szCs w:val="26"/>
        </w:rPr>
        <w:t xml:space="preserve"> de marzo de 2026. </w:t>
      </w:r>
      <w:r w:rsidR="005509FE">
        <w:rPr>
          <w:rFonts w:ascii="Arial Narrow" w:hAnsi="Arial Narrow"/>
          <w:sz w:val="26"/>
          <w:szCs w:val="26"/>
        </w:rPr>
        <w:t xml:space="preserve">El </w:t>
      </w:r>
      <w:r w:rsidR="005509FE">
        <w:rPr>
          <w:rStyle w:val="Textoennegrita"/>
          <w:rFonts w:ascii="Arial Narrow" w:hAnsi="Arial Narrow"/>
          <w:b w:val="0"/>
          <w:sz w:val="26"/>
          <w:szCs w:val="26"/>
        </w:rPr>
        <w:t>Ayuntamiento de Jerez</w:t>
      </w:r>
      <w:r w:rsidR="005509FE">
        <w:rPr>
          <w:rFonts w:ascii="Arial Narrow" w:hAnsi="Arial Narrow"/>
          <w:b/>
          <w:sz w:val="26"/>
          <w:szCs w:val="26"/>
        </w:rPr>
        <w:t>,</w:t>
      </w:r>
      <w:r w:rsidR="005509FE">
        <w:rPr>
          <w:rFonts w:ascii="Arial Narrow" w:hAnsi="Arial Narrow"/>
          <w:sz w:val="26"/>
          <w:szCs w:val="26"/>
        </w:rPr>
        <w:t xml:space="preserve"> a través de la </w:t>
      </w:r>
      <w:r w:rsidR="005509FE">
        <w:rPr>
          <w:rStyle w:val="Textoennegrita"/>
          <w:rFonts w:ascii="Arial Narrow" w:hAnsi="Arial Narrow"/>
          <w:b w:val="0"/>
          <w:sz w:val="26"/>
          <w:szCs w:val="26"/>
        </w:rPr>
        <w:t>Delegación de Cultura, Grandes Eventos, Patrimonio Histórico y Capitalidad Europea de la Cultura</w:t>
      </w:r>
      <w:r w:rsidR="005509FE">
        <w:rPr>
          <w:rFonts w:ascii="Arial Narrow" w:hAnsi="Arial Narrow"/>
          <w:sz w:val="26"/>
          <w:szCs w:val="26"/>
        </w:rPr>
        <w:t xml:space="preserve">, informa que </w:t>
      </w:r>
      <w:r>
        <w:rPr>
          <w:rFonts w:ascii="Arial Narrow" w:hAnsi="Arial Narrow"/>
          <w:sz w:val="26"/>
          <w:szCs w:val="26"/>
        </w:rPr>
        <w:t xml:space="preserve">desde hoy </w:t>
      </w:r>
      <w:r w:rsidR="005509FE">
        <w:rPr>
          <w:rFonts w:ascii="Arial Narrow" w:hAnsi="Arial Narrow"/>
          <w:sz w:val="26"/>
          <w:szCs w:val="26"/>
        </w:rPr>
        <w:t>vi</w:t>
      </w:r>
      <w:r w:rsidR="003E2111">
        <w:rPr>
          <w:rFonts w:ascii="Arial Narrow" w:hAnsi="Arial Narrow"/>
          <w:sz w:val="26"/>
          <w:szCs w:val="26"/>
        </w:rPr>
        <w:t xml:space="preserve">ernes </w:t>
      </w:r>
      <w:r>
        <w:rPr>
          <w:rFonts w:ascii="Arial Narrow" w:hAnsi="Arial Narrow"/>
          <w:sz w:val="26"/>
          <w:szCs w:val="26"/>
        </w:rPr>
        <w:t xml:space="preserve">6 </w:t>
      </w:r>
      <w:r w:rsidR="003E2111">
        <w:rPr>
          <w:rFonts w:ascii="Arial Narrow" w:hAnsi="Arial Narrow"/>
          <w:sz w:val="26"/>
          <w:szCs w:val="26"/>
        </w:rPr>
        <w:t>y hasta el lunes 16 de marzo</w:t>
      </w:r>
      <w:r w:rsidRPr="00133049">
        <w:rPr>
          <w:rFonts w:ascii="Arial Narrow" w:hAnsi="Arial Narrow"/>
          <w:sz w:val="26"/>
          <w:szCs w:val="26"/>
        </w:rPr>
        <w:t xml:space="preserve"> inclusive</w:t>
      </w:r>
      <w:r>
        <w:rPr>
          <w:rFonts w:ascii="Arial Narrow" w:hAnsi="Arial Narrow"/>
          <w:sz w:val="26"/>
          <w:szCs w:val="26"/>
        </w:rPr>
        <w:t xml:space="preserve">, permanecerá abierto </w:t>
      </w:r>
      <w:r w:rsidR="005509FE">
        <w:rPr>
          <w:rFonts w:ascii="Arial Narrow" w:hAnsi="Arial Narrow"/>
          <w:sz w:val="26"/>
          <w:szCs w:val="26"/>
        </w:rPr>
        <w:t xml:space="preserve">el plazo para solicitar la </w:t>
      </w:r>
      <w:r w:rsidR="005509FE">
        <w:rPr>
          <w:rStyle w:val="Textoennegrita"/>
          <w:rFonts w:ascii="Arial Narrow" w:hAnsi="Arial Narrow"/>
          <w:b w:val="0"/>
          <w:sz w:val="26"/>
          <w:szCs w:val="26"/>
        </w:rPr>
        <w:t xml:space="preserve">licencia de ocupación </w:t>
      </w:r>
      <w:r w:rsidR="005509FE">
        <w:rPr>
          <w:rFonts w:ascii="Arial Narrow" w:hAnsi="Arial Narrow"/>
          <w:sz w:val="26"/>
          <w:szCs w:val="26"/>
        </w:rPr>
        <w:t xml:space="preserve">para instalar actividades lúdico-recreativas, comerciales y hosteleras durante la </w:t>
      </w:r>
      <w:r w:rsidR="005509FE">
        <w:rPr>
          <w:rStyle w:val="Textoennegrita"/>
          <w:rFonts w:ascii="Arial Narrow" w:hAnsi="Arial Narrow"/>
          <w:b w:val="0"/>
          <w:sz w:val="26"/>
          <w:szCs w:val="26"/>
        </w:rPr>
        <w:t>Feria del Caballo 2026</w:t>
      </w:r>
      <w:r w:rsidR="005509FE">
        <w:rPr>
          <w:rFonts w:ascii="Arial Narrow" w:hAnsi="Arial Narrow"/>
          <w:sz w:val="26"/>
          <w:szCs w:val="26"/>
        </w:rPr>
        <w:t>, en la zona de atracciones, popularmente conocida como de 'los cacharritos'.</w:t>
      </w:r>
    </w:p>
    <w:p w:rsidR="00BB6887" w:rsidRDefault="005509FE">
      <w:pPr>
        <w:pStyle w:val="NormalWeb"/>
        <w:spacing w:before="280" w:after="280"/>
        <w:jc w:val="both"/>
        <w:rPr>
          <w:rStyle w:val="Textoennegrita"/>
          <w:rFonts w:ascii="Arial Narrow" w:hAnsi="Arial Narrow"/>
          <w:b w:val="0"/>
          <w:sz w:val="26"/>
          <w:szCs w:val="26"/>
        </w:rPr>
      </w:pPr>
      <w:r>
        <w:rPr>
          <w:rStyle w:val="Textoennegrita"/>
          <w:rFonts w:ascii="Arial Narrow" w:hAnsi="Arial Narrow"/>
          <w:b w:val="0"/>
          <w:sz w:val="26"/>
          <w:szCs w:val="26"/>
        </w:rPr>
        <w:t>Las personas interesadas dispondrán de un plazo de siete días hábiles para presentar la documentación requerida. Para ello, deberán cumplimentar el modelo o</w:t>
      </w:r>
      <w:r w:rsidR="00133049">
        <w:rPr>
          <w:rStyle w:val="Textoennegrita"/>
          <w:rFonts w:ascii="Arial Narrow" w:hAnsi="Arial Narrow"/>
          <w:b w:val="0"/>
          <w:sz w:val="26"/>
          <w:szCs w:val="26"/>
        </w:rPr>
        <w:t xml:space="preserve">ficial de solicitud, </w:t>
      </w:r>
      <w:r>
        <w:rPr>
          <w:rStyle w:val="Textoennegrita"/>
          <w:rFonts w:ascii="Arial Narrow" w:hAnsi="Arial Narrow"/>
          <w:b w:val="0"/>
          <w:sz w:val="26"/>
          <w:szCs w:val="26"/>
        </w:rPr>
        <w:t>disponi</w:t>
      </w:r>
      <w:r w:rsidR="00133049">
        <w:rPr>
          <w:rStyle w:val="Textoennegrita"/>
          <w:rFonts w:ascii="Arial Narrow" w:hAnsi="Arial Narrow"/>
          <w:b w:val="0"/>
          <w:sz w:val="26"/>
          <w:szCs w:val="26"/>
        </w:rPr>
        <w:t>ble en la página web municipal</w:t>
      </w:r>
      <w:r w:rsidR="00133049">
        <w:t xml:space="preserve">, </w:t>
      </w:r>
      <w:r>
        <w:rPr>
          <w:rStyle w:val="Textoennegrita"/>
          <w:rFonts w:ascii="Arial Narrow" w:hAnsi="Arial Narrow"/>
          <w:b w:val="0"/>
          <w:sz w:val="26"/>
          <w:szCs w:val="26"/>
        </w:rPr>
        <w:t>junto con la declaración responsable y las bases reguladoras en las que se detallan los requisitos establecidos.</w:t>
      </w:r>
      <w:r w:rsidR="00133049">
        <w:rPr>
          <w:rStyle w:val="Textoennegrita"/>
          <w:rFonts w:ascii="Arial Narrow" w:hAnsi="Arial Narrow"/>
          <w:b w:val="0"/>
          <w:sz w:val="26"/>
          <w:szCs w:val="26"/>
        </w:rPr>
        <w:t xml:space="preserve"> Enlace directo: </w:t>
      </w:r>
      <w:hyperlink r:id="rId7" w:history="1">
        <w:r w:rsidR="00133049" w:rsidRPr="005C3CC6">
          <w:rPr>
            <w:rStyle w:val="Hipervnculo"/>
            <w:rFonts w:ascii="Arial Narrow" w:hAnsi="Arial Narrow"/>
            <w:sz w:val="26"/>
            <w:szCs w:val="26"/>
          </w:rPr>
          <w:t>www.jerez.es/feria/convocatoria-licencias-atracciones</w:t>
        </w:r>
      </w:hyperlink>
    </w:p>
    <w:p w:rsidR="00BB6887" w:rsidRDefault="005509FE">
      <w:pPr>
        <w:pStyle w:val="NormalWeb"/>
        <w:spacing w:before="280" w:after="280"/>
        <w:jc w:val="both"/>
      </w:pPr>
      <w:r>
        <w:rPr>
          <w:rFonts w:ascii="Arial Narrow" w:hAnsi="Arial Narrow"/>
          <w:sz w:val="26"/>
          <w:szCs w:val="26"/>
        </w:rPr>
        <w:t xml:space="preserve">En cuanto a las condiciones específicas recogidas en dichas bases, se establece que las taquillas deberán estar integradas en la propia atracción o, en su defecto, ubicarse dentro de la parcela autorizada. Asimismo, se fija la celebración del Día del Niño y la Niña el martes 12 de mayo, jornada en la que se aplicarán tarifas reducidas: 2,50 euros para aparatos infantiles, 3 euros para aparatos de adultos y 4 euros para atracciones de recorrido único y con menos de 16 plazas. </w:t>
      </w:r>
    </w:p>
    <w:p w:rsidR="00BB6887" w:rsidRDefault="005509FE">
      <w:pPr>
        <w:pStyle w:val="NormalWeb"/>
        <w:spacing w:before="280" w:after="280"/>
        <w:jc w:val="both"/>
      </w:pPr>
      <w:r>
        <w:rPr>
          <w:rFonts w:ascii="Arial Narrow" w:hAnsi="Arial Narrow"/>
          <w:sz w:val="26"/>
          <w:szCs w:val="26"/>
        </w:rPr>
        <w:t xml:space="preserve">Además, se contemplan tres jornadas de Día sin Ruido: lunes 11, martes 12 y miércoles 13 de mayo, entre las 18.00 y las 20.00 horas, durante las que las atracciones no emitirán música, cuñas publicitarias ni amplificación sonora, con el objetivo de facilitar el disfrute a personas con trastornos del espectro autista, síndrome de Asperger u otras afecciones sensibles al ruido. </w:t>
      </w:r>
    </w:p>
    <w:p w:rsidR="00BB6887" w:rsidRDefault="005509FE">
      <w:pPr>
        <w:pStyle w:val="NormalWeb"/>
        <w:spacing w:before="280" w:after="280"/>
        <w:jc w:val="both"/>
      </w:pPr>
      <w:r>
        <w:rPr>
          <w:rFonts w:ascii="Arial Narrow" w:hAnsi="Arial Narrow"/>
          <w:sz w:val="26"/>
          <w:szCs w:val="26"/>
        </w:rPr>
        <w:t>Salvo autorizaciones especiales, todas las actividades deberán permanecer activas hasta las 24.00 horas del domingo 17 de mayo, fecha en la que se celebrará también el Día de los Nietos y Nietas. Durante esa jornada se mantendrán las atracciones con las tarifas reducidas del Día del Niño y la Niña, y las personas mayores de 65 años que dispongan de la Tarjeta Junta 65 podrán acceder gratuitamente acompañando a sus nietos y nietas.</w:t>
      </w:r>
    </w:p>
    <w:sectPr w:rsidR="00BB6887">
      <w:headerReference w:type="default" r:id="rId8"/>
      <w:pgSz w:w="11906" w:h="16838"/>
      <w:pgMar w:top="1417" w:right="158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07" w:rsidRDefault="006A4407">
      <w:r>
        <w:separator/>
      </w:r>
    </w:p>
  </w:endnote>
  <w:endnote w:type="continuationSeparator" w:id="0">
    <w:p w:rsidR="006A4407" w:rsidRDefault="006A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07" w:rsidRDefault="006A4407">
      <w:r>
        <w:separator/>
      </w:r>
    </w:p>
  </w:footnote>
  <w:footnote w:type="continuationSeparator" w:id="0">
    <w:p w:rsidR="006A4407" w:rsidRDefault="006A4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887" w:rsidRDefault="005509F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BB6887" w:rsidRDefault="00BB6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87"/>
    <w:rsid w:val="00133049"/>
    <w:rsid w:val="003E2111"/>
    <w:rsid w:val="005509FE"/>
    <w:rsid w:val="006A4407"/>
    <w:rsid w:val="00AD0B1F"/>
    <w:rsid w:val="00BB68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ABFDE-BE9E-43C5-A453-44EAC4D6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link w:val="Ttulo2Car"/>
    <w:uiPriority w:val="9"/>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uiPriority w:val="99"/>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citation-236">
    <w:name w:val="citation-236"/>
    <w:basedOn w:val="Fuentedeprrafopredeter"/>
    <w:qFormat/>
    <w:rsid w:val="007B5D16"/>
  </w:style>
  <w:style w:type="character" w:customStyle="1" w:styleId="citation-235">
    <w:name w:val="citation-235"/>
    <w:basedOn w:val="Fuentedeprrafopredeter"/>
    <w:qFormat/>
    <w:rsid w:val="007B5D16"/>
  </w:style>
  <w:style w:type="character" w:customStyle="1" w:styleId="citation-234">
    <w:name w:val="citation-234"/>
    <w:basedOn w:val="Fuentedeprrafopredeter"/>
    <w:qFormat/>
    <w:rsid w:val="007B5D16"/>
  </w:style>
  <w:style w:type="character" w:customStyle="1" w:styleId="citation-233">
    <w:name w:val="citation-233"/>
    <w:basedOn w:val="Fuentedeprrafopredeter"/>
    <w:qFormat/>
    <w:rsid w:val="007B5D16"/>
  </w:style>
  <w:style w:type="character" w:customStyle="1" w:styleId="citation-232">
    <w:name w:val="citation-232"/>
    <w:basedOn w:val="Fuentedeprrafopredeter"/>
    <w:qFormat/>
    <w:rsid w:val="007B5D16"/>
  </w:style>
  <w:style w:type="character" w:customStyle="1" w:styleId="citation-231">
    <w:name w:val="citation-231"/>
    <w:basedOn w:val="Fuentedeprrafopredeter"/>
    <w:qFormat/>
    <w:rsid w:val="007B5D16"/>
  </w:style>
  <w:style w:type="character" w:customStyle="1" w:styleId="citation-230">
    <w:name w:val="citation-230"/>
    <w:basedOn w:val="Fuentedeprrafopredeter"/>
    <w:qFormat/>
    <w:rsid w:val="007B5D16"/>
  </w:style>
  <w:style w:type="character" w:customStyle="1" w:styleId="citation-229">
    <w:name w:val="citation-229"/>
    <w:basedOn w:val="Fuentedeprrafopredeter"/>
    <w:qFormat/>
    <w:rsid w:val="007B5D16"/>
  </w:style>
  <w:style w:type="character" w:customStyle="1" w:styleId="citation-228">
    <w:name w:val="citation-228"/>
    <w:basedOn w:val="Fuentedeprrafopredeter"/>
    <w:qFormat/>
    <w:rsid w:val="007B5D16"/>
  </w:style>
  <w:style w:type="character" w:customStyle="1" w:styleId="citation-227">
    <w:name w:val="citation-227"/>
    <w:basedOn w:val="Fuentedeprrafopredeter"/>
    <w:qFormat/>
    <w:rsid w:val="007B5D16"/>
  </w:style>
  <w:style w:type="character" w:customStyle="1" w:styleId="citation-226">
    <w:name w:val="citation-226"/>
    <w:basedOn w:val="Fuentedeprrafopredeter"/>
    <w:qFormat/>
    <w:rsid w:val="007B5D16"/>
  </w:style>
  <w:style w:type="character" w:customStyle="1" w:styleId="Ttulo2Car">
    <w:name w:val="Título 2 Car"/>
    <w:basedOn w:val="Fuentedeprrafopredeter"/>
    <w:link w:val="Ttulo2"/>
    <w:uiPriority w:val="9"/>
    <w:qFormat/>
    <w:rsid w:val="002B7FB8"/>
    <w:rPr>
      <w:rFonts w:ascii="Arial" w:eastAsia="Arial" w:hAnsi="Arial" w:cs="Arial"/>
      <w:b/>
      <w:bCs/>
      <w:color w:val="000000" w:themeColor="text1"/>
      <w:sz w:val="32"/>
      <w:szCs w:val="32"/>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sz w:val="20"/>
    </w:rPr>
  </w:style>
  <w:style w:type="character" w:customStyle="1" w:styleId="ListLabel163">
    <w:name w:val="ListLabel 163"/>
    <w:qFormat/>
    <w:rPr>
      <w:rFonts w:cs="Times New Roman"/>
      <w:sz w:val="20"/>
    </w:rPr>
  </w:style>
  <w:style w:type="character" w:customStyle="1" w:styleId="ListLabel164">
    <w:name w:val="ListLabel 164"/>
    <w:qFormat/>
    <w:rPr>
      <w:sz w:val="20"/>
    </w:rPr>
  </w:style>
  <w:style w:type="character" w:customStyle="1" w:styleId="ListLabel165">
    <w:name w:val="ListLabel 165"/>
    <w:qFormat/>
    <w:rPr>
      <w:sz w:val="20"/>
    </w:rPr>
  </w:style>
  <w:style w:type="character" w:customStyle="1" w:styleId="ListLabel166">
    <w:name w:val="ListLabel 166"/>
    <w:qFormat/>
    <w:rPr>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rFonts w:ascii="Arial Narrow" w:hAnsi="Arial Narrow"/>
      <w:szCs w:val="20"/>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font-claude-response-body">
    <w:name w:val="font-claude-response-body"/>
    <w:basedOn w:val="Normal"/>
    <w:qFormat/>
    <w:rsid w:val="002B7FB8"/>
    <w:pPr>
      <w:suppressAutoHyphens w:val="0"/>
      <w:spacing w:beforeAutospacing="1" w:afterAutospacing="1"/>
    </w:pPr>
    <w:rPr>
      <w:rFonts w:ascii="Times New Roman" w:eastAsia="Times New Roman" w:hAnsi="Times New Roman" w:cs="Times New Roman"/>
      <w:lang w:eastAsia="es-ES"/>
    </w:rPr>
  </w:style>
  <w:style w:type="numbering" w:customStyle="1" w:styleId="WW8Num71">
    <w:name w:val="WW8Num71"/>
    <w:qFormat/>
  </w:style>
  <w:style w:type="character" w:styleId="Hipervnculo">
    <w:name w:val="Hyperlink"/>
    <w:basedOn w:val="Fuentedeprrafopredeter"/>
    <w:uiPriority w:val="99"/>
    <w:unhideWhenUsed/>
    <w:rsid w:val="00133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erez.es/feria/convocatoria-licencias-atraccion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0BD9-41B7-42DA-AE58-347A9C7F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Ana Pielfort Garrido</dc:creator>
  <dc:description/>
  <cp:lastModifiedBy>Ana Isabel Maestro de Pablos</cp:lastModifiedBy>
  <cp:revision>2</cp:revision>
  <cp:lastPrinted>2026-01-05T09:55:00Z</cp:lastPrinted>
  <dcterms:created xsi:type="dcterms:W3CDTF">2026-03-06T09:44:00Z</dcterms:created>
  <dcterms:modified xsi:type="dcterms:W3CDTF">2026-03-06T09:44:00Z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