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rPr/>
      </w:pPr>
      <w:r>
        <w:rPr>
          <w:rStyle w:val="Strong"/>
          <w:rFonts w:eastAsia="Malgun Gothic" w:cs="Helvetica" w:ascii="Arial Narrow" w:hAnsi="Arial Narrow"/>
          <w:sz w:val="40"/>
          <w:szCs w:val="40"/>
          <w:lang w:eastAsia="es-ES_tradnl" w:bidi="hi-IN"/>
        </w:rPr>
        <w:t>El Ayuntamiento publica en el BOP la aprobación inicial del Plan Especial para regular la implantación de energías renovables en el suelo rústico de Jerez</w:t>
      </w:r>
    </w:p>
    <w:p>
      <w:pPr>
        <w:pStyle w:val="NormalWeb"/>
        <w:rPr>
          <w:rFonts w:ascii="Arial Narrow" w:hAnsi="Arial Narrow"/>
          <w:b/>
          <w:sz w:val="20"/>
          <w:szCs w:val="20"/>
        </w:rPr>
      </w:pPr>
      <w:r>
        <w:rPr>
          <w:rFonts w:ascii="Arial Narrow" w:hAnsi="Arial Narrow"/>
          <w:b/>
          <w:sz w:val="20"/>
          <w:szCs w:val="20"/>
        </w:rPr>
      </w:r>
    </w:p>
    <w:p>
      <w:pPr>
        <w:pStyle w:val="BodyText"/>
        <w:spacing w:lineRule="auto" w:line="240"/>
        <w:rPr/>
      </w:pPr>
      <w:r>
        <w:rPr>
          <w:rStyle w:val="Strong"/>
          <w:rFonts w:ascii="Arial Narrow" w:hAnsi="Arial Narrow"/>
          <w:b w:val="false"/>
          <w:sz w:val="32"/>
          <w:szCs w:val="32"/>
        </w:rPr>
        <w:t>A partir de ahora se abre un periodo de exposición pública de 45 días para consultar el documento, que está disponible en la web del Ayuntamiento, y también de forma presencial, en la Delegación de Urbanismo</w:t>
      </w:r>
    </w:p>
    <w:p>
      <w:pPr>
        <w:pStyle w:val="BodyText"/>
        <w:spacing w:lineRule="auto" w:line="240"/>
        <w:jc w:val="both"/>
        <w:rPr>
          <w:rFonts w:ascii="Arial Narrow" w:hAnsi="Arial Narrow"/>
          <w:sz w:val="26"/>
          <w:szCs w:val="26"/>
        </w:rPr>
      </w:pPr>
      <w:r>
        <w:rPr>
          <w:rFonts w:ascii="Arial Narrow" w:hAnsi="Arial Narrow"/>
          <w:b/>
          <w:bCs/>
          <w:sz w:val="26"/>
          <w:szCs w:val="26"/>
        </w:rPr>
        <w:t>9</w:t>
      </w:r>
      <w:r>
        <w:rPr>
          <w:rFonts w:ascii="Arial Narrow" w:hAnsi="Arial Narrow"/>
          <w:b/>
          <w:bCs/>
          <w:sz w:val="26"/>
          <w:szCs w:val="26"/>
        </w:rPr>
        <w:t xml:space="preserve"> de abril de 2026.</w:t>
      </w:r>
      <w:r>
        <w:rPr>
          <w:rFonts w:ascii="Arial Narrow" w:hAnsi="Arial Narrow"/>
          <w:sz w:val="26"/>
          <w:szCs w:val="26"/>
        </w:rPr>
        <w:t xml:space="preserve"> El Ayuntamiento ha publicado en el Boletín de Oficial de la Provincia (BOP), de fecha 8 de abril, la aprobación inicial  del Plan Especial de Regulación de la Implantación de Energías Renovables en el suelo rústico,</w:t>
      </w:r>
      <w:r>
        <w:rPr>
          <w:rFonts w:eastAsia="Malgun Gothic" w:cs="Helvetica" w:ascii="Arial Narrow" w:hAnsi="Arial Narrow"/>
          <w:color w:val="000000"/>
          <w:sz w:val="26"/>
          <w:szCs w:val="26"/>
          <w:lang w:eastAsia="es-ES_tradnl"/>
        </w:rPr>
        <w:t xml:space="preserve"> que fue aprobada mediante acuerdo de Junta de Gobierno Local, el pasado 30 de marzo. Este Plan tiene como objeto establecer las normas, directrices y criterios que van a regir la instalación, en el término municipal de Jerez, de actividades de producción y almacenamiento de energías renovables, impulsando el desarrollo económico y social del territorio y sin que ello afecte a los valores del medio rural. </w:t>
      </w:r>
    </w:p>
    <w:p>
      <w:pPr>
        <w:pStyle w:val="BodyText"/>
        <w:spacing w:lineRule="auto" w:line="240"/>
        <w:jc w:val="both"/>
        <w:rPr>
          <w:rFonts w:ascii="Arial Narrow" w:hAnsi="Arial Narrow"/>
          <w:sz w:val="26"/>
          <w:szCs w:val="26"/>
        </w:rPr>
      </w:pPr>
      <w:r>
        <w:rPr>
          <w:rFonts w:eastAsia="Malgun Gothic" w:cs="Helvetica" w:ascii="Arial Narrow" w:hAnsi="Arial Narrow"/>
          <w:color w:val="000000"/>
          <w:sz w:val="26"/>
          <w:szCs w:val="26"/>
          <w:lang w:eastAsia="es-ES_tradnl"/>
        </w:rPr>
        <w:t>La delegada de Vivienda y Urbanismo, Belén de la Cuadra,</w:t>
      </w:r>
      <w:bookmarkStart w:id="0" w:name="_GoBack"/>
      <w:bookmarkEnd w:id="0"/>
      <w:r>
        <w:rPr>
          <w:rFonts w:eastAsia="Malgun Gothic" w:cs="Helvetica" w:ascii="Arial Narrow" w:hAnsi="Arial Narrow"/>
          <w:color w:val="000000"/>
          <w:sz w:val="26"/>
          <w:szCs w:val="26"/>
          <w:lang w:eastAsia="es-ES_tradnl"/>
        </w:rPr>
        <w:t xml:space="preserve"> ha explicado que, con esta aprobación inicial, el Ayuntamiento “sigue dando pasos en</w:t>
      </w:r>
      <w:r>
        <w:rPr>
          <w:rFonts w:ascii="Arial Narrow" w:hAnsi="Arial Narrow"/>
          <w:sz w:val="26"/>
          <w:szCs w:val="26"/>
        </w:rPr>
        <w:t xml:space="preserve"> la gestión de una herramienta clave para ordenar el desarrollo e implantación de estas instalaciones en el municipio”, y que permitirá  establecer un marco normativo claro para compatibilizar la transición energética con la protección ambiental, paisajística y socioeconómica del territorio; igualmente, este avance consolida “la estrategia municipal que apuesta por las energías renovables como motor de desarrollo, pero bajo un modelo ordenado que minimice impactos negativos y maximice beneficios económicos y sociales”. </w:t>
      </w:r>
    </w:p>
    <w:p>
      <w:pPr>
        <w:pStyle w:val="BodyText"/>
        <w:spacing w:lineRule="auto" w:line="240"/>
        <w:jc w:val="both"/>
        <w:rPr>
          <w:rFonts w:ascii="Arial Narrow" w:hAnsi="Arial Narrow"/>
          <w:sz w:val="26"/>
          <w:szCs w:val="26"/>
        </w:rPr>
      </w:pPr>
      <w:r>
        <w:rPr>
          <w:rFonts w:ascii="Arial Narrow" w:hAnsi="Arial Narrow"/>
          <w:sz w:val="26"/>
          <w:szCs w:val="26"/>
        </w:rPr>
        <w:t xml:space="preserve">En este sentido, la responsable municipal ha destacado que este documento, una vez aprobado definitivamente, permitirá atraer inversiones de forma equilibrada, generar empleo y reforzar la seguridad jurídica para los proyectos. “Su puesta en marcha posibilitará dotar a Jerez de una herramienta eficaz para afrontar la transición energética desde una perspectiva sostenible, protegiendo al mismo tiempo los valores ambientales, culturales y productivos de su territorio”. </w:t>
      </w:r>
    </w:p>
    <w:p>
      <w:pPr>
        <w:pStyle w:val="BodyText"/>
        <w:spacing w:lineRule="auto" w:line="240"/>
        <w:jc w:val="both"/>
        <w:rPr>
          <w:rFonts w:ascii="Arial Narrow" w:hAnsi="Arial Narrow"/>
          <w:sz w:val="26"/>
          <w:szCs w:val="26"/>
        </w:rPr>
      </w:pPr>
      <w:r>
        <w:rPr>
          <w:rFonts w:ascii="Arial Narrow" w:hAnsi="Arial Narrow"/>
          <w:sz w:val="26"/>
          <w:szCs w:val="26"/>
        </w:rPr>
        <w:t xml:space="preserve">Tras la aprobación inicial y su publicación en el BOP, la Delegación de Urbanismo podrá seguir avanzando en el recorrido administrativo de este documento, que se inició con una fase inicial de redacción técnica por parte de la empresa adjudicataria de estos trabajos,  la Consultora Territorio y Ciudad. A ello siguió un proceso participativo inicial, que se abrió en un acto de presentación del Plan, y se desarrolló en distintos talleres de trabajo con colectivos, entidades, administraciones y sectores profesionales. </w:t>
      </w:r>
    </w:p>
    <w:p>
      <w:pPr>
        <w:pStyle w:val="BodyText"/>
        <w:spacing w:lineRule="auto" w:line="240"/>
        <w:jc w:val="both"/>
        <w:rPr>
          <w:rFonts w:ascii="Arial Narrow" w:hAnsi="Arial Narrow"/>
          <w:sz w:val="26"/>
          <w:szCs w:val="26"/>
        </w:rPr>
      </w:pPr>
      <w:r>
        <w:rPr>
          <w:rFonts w:ascii="Arial Narrow" w:hAnsi="Arial Narrow"/>
          <w:sz w:val="26"/>
          <w:szCs w:val="26"/>
        </w:rPr>
        <w:t xml:space="preserve">Posteriormente, el Plan entró en una segunda fase de análisis y diagnóstico cuyos resultados y conclusiones fueron incluidos en un documento de Avance, que, junto con un Documento Inicial de Diagnóstico, fueron presentados en un acto público celebrado en junio de 2025, en el que se invitó a toda la ciudadanía a participar en la redacción del mismo, abriendo así un nuevo y más amplio proceso participativo. </w:t>
      </w:r>
    </w:p>
    <w:p>
      <w:pPr>
        <w:pStyle w:val="Normal"/>
        <w:jc w:val="both"/>
        <w:rPr>
          <w:rFonts w:ascii="Arial Narrow" w:hAnsi="Arial Narrow"/>
          <w:sz w:val="26"/>
          <w:szCs w:val="26"/>
        </w:rPr>
      </w:pPr>
      <w:r>
        <w:rPr>
          <w:rFonts w:ascii="Arial Narrow" w:hAnsi="Arial Narrow"/>
          <w:sz w:val="26"/>
          <w:szCs w:val="26"/>
        </w:rPr>
        <w:t xml:space="preserve">Durante el período de información pública del Avance, se presentaron 9 sugerencias que han sido todas analizadas y contestadas por parte del equipo redactor, según ha informado Belén de la Cuadra. Asimismo, el documento está siendo sometido al trámite de Evaluación Ambiental Estratégica Ordinaria, y cuenta con una Memoria de Participación, donde se detallan las mesas de trabajo llevadas a cabo y se relacionan las aportaciones </w:t>
      </w:r>
      <w:r>
        <w:rPr>
          <w:rFonts w:ascii="Arial Narrow" w:hAnsi="Arial Narrow"/>
          <w:i/>
          <w:iCs/>
          <w:sz w:val="26"/>
          <w:szCs w:val="26"/>
        </w:rPr>
        <w:t>online</w:t>
      </w:r>
      <w:r>
        <w:rPr>
          <w:rFonts w:ascii="Arial Narrow" w:hAnsi="Arial Narrow"/>
          <w:sz w:val="26"/>
          <w:szCs w:val="26"/>
        </w:rPr>
        <w:t xml:space="preserve"> recibidas, analizando su contenido y contrastando los resultados.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b/>
          <w:bCs/>
          <w:sz w:val="26"/>
          <w:szCs w:val="26"/>
        </w:rPr>
      </w:pPr>
      <w:r>
        <w:rPr>
          <w:rFonts w:ascii="Arial Narrow" w:hAnsi="Arial Narrow"/>
          <w:b/>
          <w:bCs/>
          <w:sz w:val="26"/>
          <w:szCs w:val="26"/>
        </w:rPr>
        <w:t>Contenido del Plan Especial</w:t>
      </w:r>
    </w:p>
    <w:p>
      <w:pPr>
        <w:pStyle w:val="BodyText"/>
        <w:spacing w:lineRule="auto" w:line="240"/>
        <w:jc w:val="both"/>
        <w:rPr>
          <w:rFonts w:ascii="Arial Narrow" w:hAnsi="Arial Narrow"/>
          <w:sz w:val="26"/>
          <w:szCs w:val="26"/>
        </w:rPr>
      </w:pPr>
      <w:r>
        <w:rPr/>
      </w:r>
    </w:p>
    <w:p>
      <w:pPr>
        <w:pStyle w:val="BodyText"/>
        <w:spacing w:lineRule="auto" w:line="240"/>
        <w:jc w:val="both"/>
        <w:rPr>
          <w:rFonts w:ascii="Arial Narrow" w:hAnsi="Arial Narrow"/>
          <w:sz w:val="26"/>
          <w:szCs w:val="26"/>
        </w:rPr>
      </w:pPr>
      <w:r>
        <w:rPr>
          <w:rFonts w:ascii="Arial Narrow" w:hAnsi="Arial Narrow"/>
          <w:sz w:val="26"/>
          <w:szCs w:val="26"/>
        </w:rPr>
        <w:t>Entre sus principales objetivos destacan el de favorecer la transición energética mediante el impulso de la generación local, propiciar un despliegue racional de las instalaciones bajo criterios de sostenibilidad ambiental, cohesión social y viabilidad económica, y aprovechar este proceso como oportunidad para democratizar la producción energética. Asimismo, el Plan incorpora un modelo de ordenación que delimita zonas aptas y no aptas en función de criterios territoriales, ambientales y paisajísticos. En este sentido, se prioriza la implantación en suelos degradados o de escaso valor agrícola, y se establecen limitaciones en áreas de especial protección.</w:t>
      </w:r>
    </w:p>
    <w:p>
      <w:pPr>
        <w:pStyle w:val="BodyText"/>
        <w:spacing w:lineRule="auto" w:line="240"/>
        <w:jc w:val="both"/>
        <w:rPr>
          <w:rFonts w:ascii="Arial Narrow" w:hAnsi="Arial Narrow"/>
          <w:sz w:val="26"/>
          <w:szCs w:val="26"/>
        </w:rPr>
      </w:pPr>
      <w:r>
        <w:rPr>
          <w:rFonts w:ascii="Arial Narrow" w:hAnsi="Arial Narrow"/>
          <w:sz w:val="26"/>
          <w:szCs w:val="26"/>
        </w:rPr>
        <w:t>Este instrumento también da respuesta a una de las principales demandas detectadas en el proceso participativo: la necesidad de proteger el viñedo como elemento identitario, patrimonial y económico del municipio, evitando la transformación indiscriminada del suelo rústico y garantizando un desarrollo compatible con los usos tradicionales.</w:t>
      </w:r>
    </w:p>
    <w:p>
      <w:pPr>
        <w:pStyle w:val="BodyText"/>
        <w:spacing w:lineRule="auto" w:line="240"/>
        <w:jc w:val="both"/>
        <w:rPr>
          <w:b/>
          <w:bCs/>
        </w:rPr>
      </w:pPr>
      <w:r>
        <w:rPr>
          <w:rFonts w:eastAsia="Malgun Gothic" w:cs="Helvetica" w:ascii="Arial Narrow" w:hAnsi="Arial Narrow"/>
          <w:b/>
          <w:bCs/>
          <w:color w:val="000000"/>
          <w:sz w:val="26"/>
          <w:szCs w:val="26"/>
          <w:lang w:eastAsia="es-ES_tradnl"/>
        </w:rPr>
        <w:t>Periodo de exposición pública</w:t>
      </w:r>
    </w:p>
    <w:p>
      <w:pPr>
        <w:pStyle w:val="BodyText"/>
        <w:spacing w:lineRule="auto" w:line="240"/>
        <w:jc w:val="both"/>
        <w:rPr>
          <w:rFonts w:ascii="Arial Narrow" w:hAnsi="Arial Narrow"/>
          <w:sz w:val="26"/>
          <w:szCs w:val="26"/>
        </w:rPr>
      </w:pPr>
      <w:r>
        <w:rPr>
          <w:rFonts w:eastAsia="Malgun Gothic" w:cs="Helvetica" w:ascii="Arial Narrow" w:hAnsi="Arial Narrow"/>
          <w:color w:val="000000"/>
          <w:sz w:val="26"/>
          <w:szCs w:val="26"/>
          <w:lang w:eastAsia="es-ES_tradnl"/>
        </w:rPr>
        <w:t>A partir de su publicación en el BOP, se somete este expediente a información pública por un plazo de 45 días, durante el cual, podrá ser examinado por las personas interesadas y formular las alegaciones que se estimen convenientes. Durante este periodo, la documentación podrá ser consultada en la página web del Ayuntamiento de Jerez, y de forma presencial, en las oficinas de la Delegación de Urbanismo, en la Plaza del Arenal, en horario de 9 a 13 horas. Para la consulta del expediente de forma presencial, se deberá solicitar cita previa en el teléfono 956 149 664.</w:t>
      </w:r>
    </w:p>
    <w:p>
      <w:pPr>
        <w:pStyle w:val="BodyText"/>
        <w:spacing w:lineRule="auto" w:line="240"/>
        <w:jc w:val="both"/>
        <w:rPr>
          <w:rFonts w:ascii="Arial Narrow" w:hAnsi="Arial Narrow"/>
          <w:sz w:val="26"/>
          <w:szCs w:val="26"/>
        </w:rPr>
      </w:pPr>
      <w:r>
        <w:rPr>
          <w:rFonts w:eastAsia="Malgun Gothic" w:cs="Helvetica" w:ascii="Arial Narrow" w:hAnsi="Arial Narrow"/>
          <w:color w:val="000000"/>
          <w:sz w:val="26"/>
          <w:szCs w:val="26"/>
          <w:lang w:eastAsia="es-ES_tradnl"/>
        </w:rPr>
        <w:t>Más información:</w:t>
      </w:r>
    </w:p>
    <w:p>
      <w:pPr>
        <w:pStyle w:val="BodyText"/>
        <w:spacing w:lineRule="auto" w:line="240"/>
        <w:jc w:val="both"/>
        <w:rPr>
          <w:rFonts w:ascii="Arial Narrow" w:hAnsi="Arial Narrow"/>
          <w:sz w:val="26"/>
          <w:szCs w:val="26"/>
        </w:rPr>
      </w:pPr>
      <w:hyperlink r:id="rId3">
        <w:r>
          <w:rPr>
            <w:rStyle w:val="Hyperlink"/>
            <w:rFonts w:eastAsia="Malgun Gothic" w:cs="Helvetica" w:ascii="Arial Narrow" w:hAnsi="Arial Narrow"/>
            <w:color w:val="000000"/>
            <w:sz w:val="26"/>
            <w:szCs w:val="26"/>
            <w:lang w:eastAsia="es-ES_tradnl"/>
          </w:rPr>
          <w:t>https://www.jerez.es/webs-municipales/urbanismo/instrumentos-de-planeamiento/instrumentos-de-planeamiento-en-fase-de-informacion</w:t>
        </w:r>
      </w:hyperlink>
    </w:p>
    <w:p>
      <w:pPr>
        <w:pStyle w:val="BodyText"/>
        <w:spacing w:lineRule="auto" w:line="240"/>
        <w:jc w:val="both"/>
        <w:rPr>
          <w:rFonts w:ascii="Arial Narrow" w:hAnsi="Arial Narrow"/>
          <w:sz w:val="26"/>
          <w:szCs w:val="26"/>
        </w:rPr>
      </w:pPr>
      <w:r>
        <w:rPr/>
      </w:r>
    </w:p>
    <w:p>
      <w:pPr>
        <w:pStyle w:val="BodyText"/>
        <w:spacing w:lineRule="auto" w:line="240"/>
        <w:jc w:val="both"/>
        <w:rPr>
          <w:rFonts w:ascii="Arial Narrow" w:hAnsi="Arial Narrow"/>
          <w:sz w:val="26"/>
          <w:szCs w:val="26"/>
        </w:rPr>
      </w:pPr>
      <w:r>
        <w:rPr/>
      </w:r>
    </w:p>
    <w:p>
      <w:pPr>
        <w:pStyle w:val="BodyText"/>
        <w:spacing w:lineRule="auto" w:line="240"/>
        <w:jc w:val="both"/>
        <w:rPr>
          <w:rFonts w:ascii="Arial Narrow" w:hAnsi="Arial Narrow"/>
          <w:sz w:val="26"/>
          <w:szCs w:val="26"/>
        </w:rPr>
      </w:pPr>
      <w:r>
        <w:rPr/>
      </w:r>
    </w:p>
    <w:p>
      <w:pPr>
        <w:pStyle w:val="BodyText"/>
        <w:spacing w:lineRule="auto" w:line="240"/>
        <w:jc w:val="both"/>
        <w:rPr>
          <w:rFonts w:ascii="Arial Narrow" w:hAnsi="Arial Narrow"/>
          <w:sz w:val="26"/>
          <w:szCs w:val="26"/>
        </w:rPr>
      </w:pPr>
      <w:r>
        <w:rPr/>
      </w:r>
    </w:p>
    <w:p>
      <w:pPr>
        <w:pStyle w:val="BodyText"/>
        <w:spacing w:lineRule="auto" w:line="240" w:before="0" w:after="140"/>
        <w:jc w:val="both"/>
        <w:rPr>
          <w:rFonts w:ascii="Arial Narrow" w:hAnsi="Arial Narrow"/>
          <w:sz w:val="26"/>
          <w:szCs w:val="26"/>
        </w:rPr>
      </w:pPr>
      <w:r>
        <w:rPr/>
      </w:r>
    </w:p>
    <w:sectPr>
      <w:headerReference w:type="even" r:id="rId4"/>
      <w:headerReference w:type="default" r:id="rId5"/>
      <w:headerReference w:type="first" r:id="rId6"/>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customStyle="1">
    <w:name w:val="citation-92"/>
    <w:basedOn w:val="DefaultParagraphFont"/>
    <w:qFormat/>
    <w:rPr/>
  </w:style>
  <w:style w:type="character" w:styleId="Citation-93" w:customStyle="1">
    <w:name w:val="citation-93"/>
    <w:basedOn w:val="DefaultParagraphFont"/>
    <w:qFormat/>
    <w:rPr/>
  </w:style>
  <w:style w:type="character" w:styleId="Citation-94" w:customStyle="1">
    <w:name w:val="citation-94"/>
    <w:basedOn w:val="DefaultParagraphFont"/>
    <w:qFormat/>
    <w:rPr/>
  </w:style>
  <w:style w:type="character" w:styleId="Citation-95" w:customStyle="1">
    <w:name w:val="citation-95"/>
    <w:basedOn w:val="DefaultParagraphFont"/>
    <w:qFormat/>
    <w:rPr/>
  </w:style>
  <w:style w:type="character" w:styleId="Citation-96" w:customStyle="1">
    <w:name w:val="citation-96"/>
    <w:basedOn w:val="DefaultParagraphFont"/>
    <w:qFormat/>
    <w:rPr/>
  </w:style>
  <w:style w:type="character" w:styleId="Citation-97" w:customStyle="1">
    <w:name w:val="citation-97"/>
    <w:basedOn w:val="DefaultParagraphFont"/>
    <w:qFormat/>
    <w:rPr/>
  </w:style>
  <w:style w:type="character" w:styleId="Citation-98" w:customStyle="1">
    <w:name w:val="citation-98"/>
    <w:basedOn w:val="DefaultParagraphFont"/>
    <w:qFormat/>
    <w:rPr/>
  </w:style>
  <w:style w:type="character" w:styleId="Citation-99" w:customStyle="1">
    <w:name w:val="citation-99"/>
    <w:basedOn w:val="DefaultParagraphFont"/>
    <w:qFormat/>
    <w:rPr/>
  </w:style>
  <w:style w:type="character" w:styleId="Citation-100" w:customStyle="1">
    <w:name w:val="citation-100"/>
    <w:basedOn w:val="DefaultParagraphFont"/>
    <w:qFormat/>
    <w:rPr/>
  </w:style>
  <w:style w:type="character" w:styleId="Citation-101" w:customStyle="1">
    <w:name w:val="citation-101"/>
    <w:basedOn w:val="DefaultParagraphFont"/>
    <w:qFormat/>
    <w:rPr/>
  </w:style>
  <w:style w:type="character" w:styleId="Citation-102" w:customStyle="1">
    <w:name w:val="citation-102"/>
    <w:basedOn w:val="DefaultParagraphFont"/>
    <w:qFormat/>
    <w:rPr/>
  </w:style>
  <w:style w:type="character" w:styleId="Citation-103" w:customStyle="1">
    <w:name w:val="citation-103"/>
    <w:basedOn w:val="DefaultParagraphFont"/>
    <w:qFormat/>
    <w:rPr/>
  </w:style>
  <w:style w:type="character" w:styleId="Citation-104" w:customStyle="1">
    <w:name w:val="citation-104"/>
    <w:basedOn w:val="DefaultParagraphFont"/>
    <w:qFormat/>
    <w:rPr/>
  </w:style>
  <w:style w:type="character" w:styleId="Citation-105" w:customStyle="1">
    <w:name w:val="citation-105"/>
    <w:basedOn w:val="DefaultParagraphFont"/>
    <w:qFormat/>
    <w:rPr/>
  </w:style>
  <w:style w:type="character" w:styleId="Citation-106" w:customStyle="1">
    <w:name w:val="citation-106"/>
    <w:basedOn w:val="DefaultParagraphFont"/>
    <w:qFormat/>
    <w:rPr/>
  </w:style>
  <w:style w:type="character" w:styleId="Citation-107" w:customStyle="1">
    <w:name w:val="citation-107"/>
    <w:basedOn w:val="DefaultParagraphFont"/>
    <w:qFormat/>
    <w:rPr/>
  </w:style>
  <w:style w:type="character" w:styleId="Button-label" w:customStyle="1">
    <w:name w:val="button-label"/>
    <w:basedOn w:val="DefaultParagraphFont"/>
    <w:qFormat/>
    <w:rPr/>
  </w:style>
  <w:style w:type="character" w:styleId="Citation-108" w:customStyle="1">
    <w:name w:val="citation-108"/>
    <w:basedOn w:val="DefaultParagraphFont"/>
    <w:qFormat/>
    <w:rPr/>
  </w:style>
  <w:style w:type="character" w:styleId="Ninguno" w:customStyle="1">
    <w:name w:val="Ninguno"/>
    <w:qFormat/>
    <w:rPr>
      <w:lang w:val="es-ES_tradnl"/>
    </w:rPr>
  </w:style>
  <w:style w:type="character" w:styleId="Nfasis1" w:customStyle="1">
    <w:name w:val="Énfasis1"/>
    <w:qFormat/>
    <w:rPr>
      <w:i/>
      <w:iCs/>
    </w:rPr>
  </w:style>
  <w:style w:type="character" w:styleId="Hipervnculo1" w:customStyle="1">
    <w:name w:val="Hipervínculo1"/>
    <w:qFormat/>
    <w:rPr>
      <w:color w:val="0563C1"/>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customStyle="1">
    <w:name w:val="caption2"/>
    <w:basedOn w:val="Normal"/>
    <w:qFormat/>
    <w:pPr>
      <w:suppressLineNumbers/>
      <w:spacing w:before="120" w:after="120"/>
    </w:pPr>
    <w:rPr>
      <w:rFonts w:cs="Arial"/>
      <w:i/>
      <w:iCs/>
    </w:rPr>
  </w:style>
  <w:style w:type="paragraph" w:styleId="Standard1" w:customStyle="1">
    <w:name w:val="standard1"/>
    <w:basedOn w:val="Normal"/>
    <w:qFormat/>
    <w:pPr>
      <w:suppressAutoHyphens w:val="false"/>
      <w:spacing w:beforeAutospacing="1" w:afterAutospacing="1"/>
    </w:pPr>
    <w:rPr>
      <w:rFonts w:ascii="Times New Roman" w:hAnsi="Times New Roman" w:eastAsia="Times New Roman" w:cs="Times New Roman"/>
      <w:lang w:eastAsia="es-E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erez.es/webs-municipales/urbanismo/instrumentos-de-planeamiento/instrumentos-de-planeamiento-en-fase-de-informacion"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362</TotalTime>
  <Application>LibreOffice/7.6.7.2$Windows_X86_64 LibreOffice_project/dd47e4b30cb7dab30588d6c79c651f218165e3c5</Application>
  <AppVersion>15.0000</AppVersion>
  <Pages>3</Pages>
  <Words>798</Words>
  <Characters>4557</Characters>
  <CharactersWithSpaces>5349</CharactersWithSpaces>
  <Paragraphs>17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dcterms:modified xsi:type="dcterms:W3CDTF">2026-04-09T13:12:15Z</dcterms:modified>
  <cp:revision>72</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