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E1" w:rsidRDefault="00AE7C9D">
      <w:r>
        <w:rPr>
          <w:rFonts w:ascii="Arial Narrow" w:hAnsi="Arial Narrow"/>
          <w:b/>
          <w:bCs/>
          <w:sz w:val="40"/>
          <w:szCs w:val="40"/>
        </w:rPr>
        <w:t xml:space="preserve">El Ayuntamiento, a través de la Fundación Municipal de Formación y Empleo, inicia el primero de los cuatro cursos formativos que impartirá en ‘El Zagal’ </w:t>
      </w:r>
    </w:p>
    <w:p w:rsidR="006E36E1" w:rsidRDefault="006E36E1">
      <w:pPr>
        <w:rPr>
          <w:rFonts w:ascii="Arial Narrow" w:hAnsi="Arial Narrow"/>
          <w:b/>
          <w:bCs/>
          <w:sz w:val="40"/>
          <w:szCs w:val="40"/>
        </w:rPr>
      </w:pPr>
    </w:p>
    <w:p w:rsidR="006E36E1" w:rsidRDefault="00AE7C9D">
      <w:r>
        <w:rPr>
          <w:rFonts w:ascii="Arial Narrow" w:hAnsi="Arial Narrow"/>
          <w:sz w:val="36"/>
          <w:szCs w:val="36"/>
        </w:rPr>
        <w:t>‘Principios dietéticos aplicados a los cuidados auxiliares’   completa las 15 plazas ofrecidas para mejorar la empleabilidad</w:t>
      </w:r>
    </w:p>
    <w:p w:rsidR="006E36E1" w:rsidRDefault="006E36E1">
      <w:pPr>
        <w:jc w:val="both"/>
        <w:rPr>
          <w:rFonts w:ascii="Arial Narrow" w:hAnsi="Arial Narrow"/>
        </w:rPr>
      </w:pPr>
    </w:p>
    <w:p w:rsidR="006E36E1" w:rsidRDefault="00AE7C9D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12 de abril de 2026.</w:t>
      </w:r>
      <w:r>
        <w:rPr>
          <w:rFonts w:ascii="Arial Narrow" w:hAnsi="Arial Narrow"/>
          <w:sz w:val="26"/>
          <w:szCs w:val="26"/>
        </w:rPr>
        <w:t xml:space="preserve"> La delegada de Empleo, Comercio y Consumo,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informado sobre el inicio del curso ‘Principios dietéticos aplicados a los cuidados auxiliares’, la primera de las cuatro acciones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formativas gratuitas previstas por la Fundación Municipal de Formación y Empleo durante los próximos tres meses en el Centro de Formación ‘El Zagal’. </w:t>
      </w:r>
    </w:p>
    <w:p w:rsidR="006E36E1" w:rsidRDefault="006E36E1">
      <w:pPr>
        <w:jc w:val="both"/>
        <w:rPr>
          <w:rFonts w:ascii="Arial Narrow" w:hAnsi="Arial Narrow"/>
          <w:sz w:val="26"/>
          <w:szCs w:val="26"/>
        </w:rPr>
      </w:pPr>
    </w:p>
    <w:p w:rsidR="006E36E1" w:rsidRDefault="00AE7C9D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Este curso formativo ha arrancado con la presencia de 15 participantes y tiene como finalidad reforzar las competencias profesionales de personas que se encuentran en situación de desempleo y mejorar sus condiciones de empleabilidad en un sector que tiene una alta demanda de ocupación como es el socio-sanitario.</w:t>
      </w:r>
    </w:p>
    <w:p w:rsidR="006E36E1" w:rsidRDefault="006E36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6E36E1" w:rsidRDefault="00AE7C9D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Además, desde hoy está abierto el plazo de inscripción para el segundo curso que está contemplado dentro de este ciclo formativo bajo el título: ‘Atención a personas con trastornos cognitivos en estado inicial’ y que se desarrollará del 27 de abril al 5 de mayo. De manera que las personas interesadas en inscribirse pueden hacerlo mediante vía telemática en la web oficial: </w:t>
      </w:r>
      <w:hyperlink r:id="rId6">
        <w:r>
          <w:rPr>
            <w:rStyle w:val="Hipervnculo"/>
            <w:rFonts w:ascii="Arial Narrow" w:hAnsi="Arial Narrow"/>
            <w:color w:val="242424"/>
            <w:sz w:val="26"/>
            <w:szCs w:val="26"/>
          </w:rPr>
          <w:t>www.jerez.es/empleo</w:t>
        </w:r>
      </w:hyperlink>
      <w:r>
        <w:rPr>
          <w:rFonts w:ascii="Arial Narrow" w:hAnsi="Arial Narrow"/>
          <w:color w:val="242424"/>
          <w:sz w:val="26"/>
          <w:szCs w:val="26"/>
        </w:rPr>
        <w:t xml:space="preserve"> o dirigirse de manera presencial a la sede de la Delegación de Empleo, situada en la Avenida Alcalde Álvaro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Domecq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números 5-7-9.</w:t>
      </w:r>
    </w:p>
    <w:p w:rsidR="006E36E1" w:rsidRDefault="006E36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6E36E1" w:rsidRDefault="00AE7C9D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Estos cursos son financiados íntegramente por la Fundación Municipal de Formación y Empleo, no requieren requisitos previos de titulación y tienen una duración de entre treinta y cuarenta horas con horario de mañana (09:00 horas a 14:00 horas). Próximas convocatorias serán ‘Acción cultural para la transformación social’, fechada entre el 20 y el 27 de mayo, y ‘Entornos de ocio inclusivos’, del 3 al 11 de junio.</w:t>
      </w:r>
    </w:p>
    <w:p w:rsidR="006E36E1" w:rsidRDefault="006E36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6E36E1" w:rsidRDefault="006E36E1">
      <w:pPr>
        <w:jc w:val="both"/>
        <w:rPr>
          <w:rFonts w:ascii="Arial Narrow" w:hAnsi="Arial Narrow"/>
          <w:sz w:val="26"/>
          <w:szCs w:val="26"/>
        </w:rPr>
      </w:pPr>
    </w:p>
    <w:p w:rsidR="006E36E1" w:rsidRDefault="00AE7C9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6E36E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22" w:rsidRDefault="00AE7C9D">
      <w:r>
        <w:separator/>
      </w:r>
    </w:p>
  </w:endnote>
  <w:endnote w:type="continuationSeparator" w:id="0">
    <w:p w:rsidR="00F23F22" w:rsidRDefault="00AE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22" w:rsidRDefault="00AE7C9D">
      <w:r>
        <w:separator/>
      </w:r>
    </w:p>
  </w:footnote>
  <w:footnote w:type="continuationSeparator" w:id="0">
    <w:p w:rsidR="00F23F22" w:rsidRDefault="00AE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E1" w:rsidRDefault="006E36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E1" w:rsidRDefault="00AE7C9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E1" w:rsidRDefault="006E36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E1" w:rsidRDefault="00AE7C9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E1" w:rsidRDefault="006E36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6E1"/>
    <w:rsid w:val="006E36E1"/>
    <w:rsid w:val="00A42B27"/>
    <w:rsid w:val="00AE7C9D"/>
    <w:rsid w:val="00F2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DA9CF-7854-4476-B4D3-F56B5470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/emple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1</Pages>
  <Words>303</Words>
  <Characters>1669</Characters>
  <Application>Microsoft Office Word</Application>
  <DocSecurity>0</DocSecurity>
  <Lines>13</Lines>
  <Paragraphs>3</Paragraphs>
  <ScaleCrop>false</ScaleCrop>
  <Company>Aytojerez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Carlos Alarcón Sánchez</cp:lastModifiedBy>
  <cp:revision>254</cp:revision>
  <dcterms:created xsi:type="dcterms:W3CDTF">2026-03-27T10:07:00Z</dcterms:created>
  <dcterms:modified xsi:type="dcterms:W3CDTF">2026-04-12T07:03:00Z</dcterms:modified>
  <dc:language>es-ES</dc:language>
</cp:coreProperties>
</file>