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Fonts w:eastAsia="Arial" w:cs="Arial Narrow" w:ascii="Arial Narrow" w:hAnsi="Arial Narrow"/>
          <w:sz w:val="40"/>
          <w:szCs w:val="40"/>
          <w:lang w:eastAsia="es-ES_tradnl"/>
        </w:rPr>
      </w:r>
    </w:p>
    <w:p>
      <w:pPr>
        <w:pStyle w:val="BodyText"/>
        <w:spacing w:lineRule="atLeast" w:line="240" w:before="0" w:after="0"/>
        <w:rPr>
          <w:rFonts w:ascii="Arial Narrow" w:hAnsi="Arial Narrow"/>
          <w:color w:val="000000"/>
          <w:sz w:val="26"/>
          <w:szCs w:val="26"/>
        </w:rPr>
      </w:pPr>
      <w:r>
        <w:rPr>
          <w:rFonts w:ascii="Arial Narrow" w:hAnsi="Arial Narrow"/>
          <w:color w:val="000000"/>
          <w:sz w:val="26"/>
          <w:szCs w:val="26"/>
        </w:rPr>
      </w:r>
    </w:p>
    <w:p>
      <w:pPr>
        <w:pStyle w:val="Normal"/>
        <w:spacing w:lineRule="auto" w:line="240" w:before="0" w:after="150"/>
        <w:ind w:hanging="0" w:left="0" w:right="0"/>
        <w:jc w:val="both"/>
        <w:rPr>
          <w:rFonts w:ascii="Arial Narrow" w:hAnsi="Arial Narrow"/>
          <w:b/>
          <w:color w:val="1F1F1F"/>
          <w:spacing w:val="0"/>
          <w:sz w:val="26"/>
          <w:szCs w:val="26"/>
        </w:rPr>
      </w:pPr>
      <w:r>
        <w:rPr>
          <w:rFonts w:ascii="Arial Narrow" w:hAnsi="Arial Narrow"/>
          <w:b/>
          <w:bCs/>
          <w:color w:val="1F1F1F"/>
          <w:spacing w:val="0"/>
          <w:sz w:val="40"/>
          <w:szCs w:val="40"/>
        </w:rPr>
        <w:t xml:space="preserve">El Ayuntamiento </w:t>
      </w:r>
      <w:r>
        <w:rPr>
          <w:rFonts w:ascii="Arial Narrow" w:hAnsi="Arial Narrow"/>
          <w:b/>
          <w:bCs/>
          <w:color w:val="1F1F1F"/>
          <w:spacing w:val="0"/>
          <w:sz w:val="40"/>
          <w:szCs w:val="40"/>
        </w:rPr>
        <w:t>abre el</w:t>
      </w:r>
      <w:r>
        <w:rPr>
          <w:rFonts w:ascii="Arial Narrow" w:hAnsi="Arial Narrow"/>
          <w:b/>
          <w:bCs/>
          <w:color w:val="1F1F1F"/>
          <w:spacing w:val="0"/>
          <w:sz w:val="40"/>
          <w:szCs w:val="40"/>
        </w:rPr>
        <w:t xml:space="preserve"> calendario de pago</w:t>
      </w:r>
      <w:r>
        <w:rPr>
          <w:rFonts w:ascii="Arial Narrow" w:hAnsi="Arial Narrow"/>
          <w:b/>
          <w:bCs/>
          <w:color w:val="1F1F1F"/>
          <w:spacing w:val="0"/>
          <w:sz w:val="40"/>
          <w:szCs w:val="40"/>
        </w:rPr>
        <w:t xml:space="preserve"> de los tributos municipales para el ejercicio 2026</w:t>
      </w:r>
    </w:p>
    <w:p>
      <w:pPr>
        <w:pStyle w:val="BodyText"/>
        <w:spacing w:lineRule="auto" w:line="240" w:before="0" w:after="150"/>
        <w:ind w:hanging="0" w:left="0" w:right="0"/>
        <w:jc w:val="left"/>
        <w:rPr>
          <w:rFonts w:ascii="Arial Narrow" w:hAnsi="Arial Narrow"/>
          <w:b w:val="false"/>
          <w:color w:val="1F1F1F"/>
          <w:spacing w:val="0"/>
          <w:sz w:val="36"/>
          <w:szCs w:val="36"/>
        </w:rPr>
      </w:pPr>
      <w:r>
        <w:rPr>
          <w:rFonts w:ascii="Arial Narrow" w:hAnsi="Arial Narrow"/>
          <w:b w:val="false"/>
          <w:bCs w:val="false"/>
          <w:i w:val="false"/>
          <w:caps w:val="false"/>
          <w:smallCaps w:val="false"/>
          <w:color w:val="1F1F1F"/>
          <w:spacing w:val="0"/>
          <w:sz w:val="36"/>
          <w:szCs w:val="36"/>
        </w:rPr>
        <w:t xml:space="preserve">El primer </w:t>
      </w:r>
      <w:r>
        <w:rPr>
          <w:rFonts w:ascii="Arial Narrow" w:hAnsi="Arial Narrow"/>
          <w:b w:val="false"/>
          <w:bCs w:val="false"/>
          <w:i w:val="false"/>
          <w:caps w:val="false"/>
          <w:smallCaps w:val="false"/>
          <w:color w:val="1F1F1F"/>
          <w:spacing w:val="0"/>
          <w:sz w:val="36"/>
          <w:szCs w:val="36"/>
        </w:rPr>
        <w:t xml:space="preserve">periodo </w:t>
      </w:r>
      <w:r>
        <w:rPr>
          <w:rFonts w:ascii="Arial Narrow" w:hAnsi="Arial Narrow"/>
          <w:b w:val="false"/>
          <w:bCs w:val="false"/>
          <w:i w:val="false"/>
          <w:caps w:val="false"/>
          <w:smallCaps w:val="false"/>
          <w:color w:val="1F1F1F"/>
          <w:spacing w:val="0"/>
          <w:sz w:val="36"/>
          <w:szCs w:val="36"/>
        </w:rPr>
        <w:t xml:space="preserve">de recaudación se desarrolla del 17 de abril al 19 de junio </w:t>
      </w:r>
      <w:r>
        <w:rPr>
          <w:rFonts w:ascii="Arial Narrow" w:hAnsi="Arial Narrow"/>
          <w:b w:val="false"/>
          <w:bCs w:val="false"/>
          <w:i w:val="false"/>
          <w:caps w:val="false"/>
          <w:smallCaps w:val="false"/>
          <w:color w:val="1F1F1F"/>
          <w:spacing w:val="0"/>
          <w:sz w:val="36"/>
          <w:szCs w:val="36"/>
        </w:rPr>
        <w:t>mientras que el segundo tendrá lugar del 15 de septiembre al 16 de noviembre</w:t>
      </w:r>
    </w:p>
    <w:p>
      <w:pPr>
        <w:pStyle w:val="NormalWeb"/>
        <w:jc w:val="both"/>
        <w:textAlignment w:val="baseline"/>
        <w:rPr>
          <w:rFonts w:ascii="Arial Narrow" w:hAnsi="Arial Narrow"/>
          <w:sz w:val="26"/>
          <w:szCs w:val="26"/>
        </w:rPr>
      </w:pPr>
      <w:r>
        <w:rPr/>
      </w:r>
    </w:p>
    <w:p>
      <w:pPr>
        <w:pStyle w:val="BodyText"/>
        <w:widowControl/>
        <w:spacing w:lineRule="auto" w:line="240" w:before="0" w:after="0"/>
        <w:ind w:hanging="0" w:left="0" w:right="0"/>
        <w:jc w:val="both"/>
        <w:rPr/>
      </w:pPr>
      <w:r>
        <w:rPr>
          <w:rFonts w:ascii="Arial Narrow" w:hAnsi="Arial Narrow"/>
          <w:b/>
          <w:bCs/>
          <w:i w:val="false"/>
          <w:caps w:val="false"/>
          <w:smallCaps w:val="false"/>
          <w:color w:val="1F1F1F"/>
          <w:spacing w:val="0"/>
          <w:sz w:val="26"/>
          <w:szCs w:val="26"/>
        </w:rPr>
        <w:t xml:space="preserve">17 de abril de 2026. </w:t>
      </w:r>
      <w:r>
        <w:rPr>
          <w:rFonts w:ascii="Arial Narrow" w:hAnsi="Arial Narrow"/>
          <w:b w:val="false"/>
          <w:i w:val="false"/>
          <w:caps w:val="false"/>
          <w:smallCaps w:val="false"/>
          <w:color w:val="000000"/>
          <w:spacing w:val="0"/>
          <w:sz w:val="26"/>
          <w:szCs w:val="26"/>
        </w:rPr>
        <w:t>El Ayuntamiento, a través de la Oficina de Recaudación y Servicios Tributarios,</w:t>
      </w:r>
      <w:r>
        <w:rPr>
          <w:rFonts w:ascii="Arial Narrow" w:hAnsi="Arial Narrow"/>
          <w:b w:val="false"/>
          <w:i w:val="false"/>
          <w:caps w:val="false"/>
          <w:smallCaps w:val="false"/>
          <w:color w:val="242424"/>
          <w:spacing w:val="0"/>
          <w:sz w:val="26"/>
          <w:szCs w:val="26"/>
        </w:rPr>
        <w:t xml:space="preserve"> ha </w:t>
      </w:r>
      <w:r>
        <w:rPr>
          <w:rFonts w:ascii="Arial Narrow" w:hAnsi="Arial Narrow"/>
          <w:b w:val="false"/>
          <w:i w:val="false"/>
          <w:caps w:val="false"/>
          <w:smallCaps w:val="false"/>
          <w:color w:val="242424"/>
          <w:spacing w:val="0"/>
          <w:sz w:val="26"/>
          <w:szCs w:val="26"/>
        </w:rPr>
        <w:t xml:space="preserve">iniciado </w:t>
      </w:r>
      <w:r>
        <w:rPr>
          <w:rFonts w:ascii="Arial Narrow" w:hAnsi="Arial Narrow"/>
          <w:b w:val="false"/>
          <w:i w:val="false"/>
          <w:caps w:val="false"/>
          <w:smallCaps w:val="false"/>
          <w:color w:val="242424"/>
          <w:spacing w:val="0"/>
          <w:sz w:val="26"/>
          <w:szCs w:val="26"/>
        </w:rPr>
        <w:t xml:space="preserve">la campaña de recaudación voluntaria para los recibos de padrón correspondientes al año 2026. </w:t>
      </w:r>
      <w:r>
        <w:rPr>
          <w:rFonts w:ascii="Arial Narrow" w:hAnsi="Arial Narrow"/>
          <w:b w:val="false"/>
          <w:i w:val="false"/>
          <w:caps w:val="false"/>
          <w:smallCaps w:val="false"/>
          <w:color w:val="242424"/>
          <w:spacing w:val="0"/>
          <w:sz w:val="26"/>
          <w:szCs w:val="26"/>
        </w:rPr>
        <w:t>Como viene siendo habitual, e</w:t>
      </w:r>
      <w:r>
        <w:rPr>
          <w:rFonts w:ascii="Arial Narrow" w:hAnsi="Arial Narrow"/>
          <w:b w:val="false"/>
          <w:i w:val="false"/>
          <w:caps w:val="false"/>
          <w:smallCaps w:val="false"/>
          <w:color w:val="242424"/>
          <w:spacing w:val="0"/>
          <w:sz w:val="26"/>
          <w:szCs w:val="26"/>
        </w:rPr>
        <w:t xml:space="preserve">ste proceso se organiza en dos periodos de cobro diferenciados con el objetivo de facilitar a la ciudadanía el cumplimiento de sus obligaciones fiscales en condiciones de mayor flexibilidad y comodidad, </w:t>
      </w:r>
      <w:r>
        <w:rPr>
          <w:rFonts w:ascii="Arial Narrow" w:hAnsi="Arial Narrow"/>
          <w:b w:val="false"/>
          <w:i w:val="false"/>
          <w:caps w:val="false"/>
          <w:smallCaps w:val="false"/>
          <w:color w:val="000000"/>
          <w:spacing w:val="0"/>
          <w:sz w:val="26"/>
          <w:szCs w:val="26"/>
        </w:rPr>
        <w:t>reforzando tanto los canales digitales como la atención personalizada.</w:t>
      </w:r>
    </w:p>
    <w:p>
      <w:pPr>
        <w:pStyle w:val="BodyText"/>
        <w:widowControl/>
        <w:spacing w:lineRule="auto" w:line="240" w:before="0" w:after="0"/>
        <w:ind w:hanging="0" w:left="0" w:right="0"/>
        <w:jc w:val="both"/>
        <w:rPr>
          <w:rFonts w:ascii="Arial Narrow" w:hAnsi="Arial Narrow"/>
          <w:b w:val="false"/>
          <w:i w:val="false"/>
          <w:caps w:val="false"/>
          <w:smallCaps w:val="false"/>
          <w:color w:val="242424"/>
          <w:spacing w:val="0"/>
          <w:sz w:val="26"/>
          <w:szCs w:val="26"/>
        </w:rPr>
      </w:pPr>
      <w:r>
        <w:rPr/>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t>El primer semestre se desarrollará desde el 17 de abril hasta el 19 de junio de 2026 e incluirá conceptos como el Impuesto sobre Bienes Inmuebles Urbanos (IBI), el Impuesto sobre Bienes Inmuebles de Características Especiales (IBE), el Impuesto sobre Vehículos de Tracción Mecánica (IVTM), el Impuesto sobre Actividades Económicas (IAE), la Tasa por Entrada de Vehículos (TEV) y la Tasa por Ocupación de Vía Pública con Kioscos (TKI).</w:t>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r>
    </w:p>
    <w:p>
      <w:pPr>
        <w:pStyle w:val="BodyText"/>
        <w:widowControl/>
        <w:spacing w:lineRule="auto" w:line="240" w:before="0" w:after="0"/>
        <w:ind w:hanging="0" w:left="0" w:right="0"/>
        <w:jc w:val="both"/>
        <w:rPr>
          <w:rFonts w:ascii="Arial Narrow" w:hAnsi="Arial Narrow"/>
          <w:b w:val="false"/>
          <w:i w:val="false"/>
          <w:caps w:val="false"/>
          <w:smallCaps w:val="false"/>
          <w:color w:val="242424"/>
          <w:spacing w:val="0"/>
          <w:sz w:val="26"/>
          <w:szCs w:val="26"/>
        </w:rPr>
      </w:pPr>
      <w:r>
        <w:rPr>
          <w:rFonts w:ascii="Arial Narrow" w:hAnsi="Arial Narrow"/>
          <w:b w:val="false"/>
          <w:i w:val="false"/>
          <w:caps w:val="false"/>
          <w:smallCaps w:val="false"/>
          <w:color w:val="242424"/>
          <w:spacing w:val="0"/>
          <w:sz w:val="26"/>
          <w:szCs w:val="26"/>
        </w:rPr>
        <w:t>Por su parte, el segundo semestre tendrá lugar entre el 15 de septiembre y el 16 de noviembre de 2026, abarcando nuevamente el IBI, IBE, IAE, TEV y TKI, además de incorporar el Impuesto sobre Bienes Inmuebles Rústicos (RUS).</w:t>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r>
    </w:p>
    <w:p>
      <w:pPr>
        <w:pStyle w:val="BodyText"/>
        <w:widowControl/>
        <w:spacing w:lineRule="auto" w:line="240" w:before="0" w:after="0"/>
        <w:ind w:hanging="0" w:left="0" w:right="0"/>
        <w:jc w:val="both"/>
        <w:rPr>
          <w:rFonts w:ascii="Arial Narrow" w:hAnsi="Arial Narrow"/>
          <w:b w:val="false"/>
          <w:i w:val="false"/>
          <w:caps w:val="false"/>
          <w:smallCaps w:val="false"/>
          <w:color w:val="242424"/>
          <w:spacing w:val="0"/>
          <w:sz w:val="26"/>
          <w:szCs w:val="26"/>
        </w:rPr>
      </w:pPr>
      <w:r>
        <w:rPr>
          <w:rFonts w:ascii="Arial Narrow" w:hAnsi="Arial Narrow"/>
          <w:b w:val="false"/>
          <w:i w:val="false"/>
          <w:caps w:val="false"/>
          <w:smallCaps w:val="false"/>
          <w:color w:val="000000"/>
          <w:spacing w:val="0"/>
          <w:sz w:val="26"/>
          <w:szCs w:val="26"/>
        </w:rPr>
        <w:t xml:space="preserve">En cuanto a las modalidades de pago, el Ayuntamiento mantiene una amplia oferta de canales con el fin de adaptarse a las necesidades de los contribuyentes, </w:t>
      </w:r>
      <w:r>
        <w:rPr>
          <w:rFonts w:ascii="Arial Narrow" w:hAnsi="Arial Narrow"/>
          <w:b w:val="false"/>
          <w:i w:val="false"/>
          <w:caps w:val="false"/>
          <w:smallCaps w:val="false"/>
          <w:color w:val="242424"/>
          <w:spacing w:val="0"/>
          <w:sz w:val="26"/>
          <w:szCs w:val="26"/>
        </w:rPr>
        <w:t>tales como el uso de tarjeta de débito o crédito mediante el TPV Virtual de la Sede Electrónica o a través del sistema Bizum.</w:t>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r>
    </w:p>
    <w:p>
      <w:pPr>
        <w:pStyle w:val="BodyText"/>
        <w:widowControl/>
        <w:spacing w:lineRule="auto" w:line="240" w:before="0" w:after="0"/>
        <w:ind w:hanging="0" w:left="0" w:right="0"/>
        <w:jc w:val="both"/>
        <w:rPr>
          <w:rFonts w:ascii="Arial Narrow" w:hAnsi="Arial Narrow"/>
          <w:b w:val="false"/>
          <w:i w:val="false"/>
          <w:caps w:val="false"/>
          <w:smallCaps w:val="false"/>
          <w:color w:val="242424"/>
          <w:spacing w:val="0"/>
          <w:sz w:val="26"/>
          <w:szCs w:val="26"/>
        </w:rPr>
      </w:pPr>
      <w:r>
        <w:rPr>
          <w:rFonts w:ascii="Arial Narrow" w:hAnsi="Arial Narrow"/>
          <w:b w:val="false"/>
          <w:i w:val="false"/>
          <w:caps w:val="false"/>
          <w:smallCaps w:val="false"/>
          <w:color w:val="242424"/>
          <w:spacing w:val="0"/>
          <w:sz w:val="26"/>
          <w:szCs w:val="26"/>
        </w:rPr>
        <w:t>También es posible realizar el pago con tarjeta en los Cajeros Ciudadanos ubicados en las Oficinas de Recaudación de las calles Latorre y avenida de Arcos, en la Sede de Urbanismo del Edificio Los Arcos y en el Palacio de Deportes de Chapín, así como mediante la presentación del díptico en las ventanillas o cajeros automáticos de las entidades colaboradoras autorizadas. Otras opciones disponibles incluyen la domiciliación bancaria para agilizar el cumplimiento de las obligaciones fiscales.</w:t>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r>
    </w:p>
    <w:p>
      <w:pPr>
        <w:pStyle w:val="BodyText"/>
        <w:widowControl/>
        <w:spacing w:lineRule="auto" w:line="240" w:before="0" w:after="0"/>
        <w:ind w:hanging="0" w:left="0" w:right="0"/>
        <w:jc w:val="both"/>
        <w:rPr>
          <w:rFonts w:ascii="Arial Narrow" w:hAnsi="Arial Narrow"/>
          <w:b w:val="false"/>
          <w:i w:val="false"/>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 xml:space="preserve">Asimismo, </w:t>
      </w:r>
      <w:r>
        <w:rPr>
          <w:rFonts w:ascii="Arial Narrow" w:hAnsi="Arial Narrow"/>
          <w:b w:val="false"/>
          <w:i w:val="false"/>
          <w:caps w:val="false"/>
          <w:smallCaps w:val="false"/>
          <w:color w:val="000000"/>
          <w:spacing w:val="0"/>
          <w:sz w:val="26"/>
          <w:szCs w:val="26"/>
        </w:rPr>
        <w:t xml:space="preserve">y </w:t>
      </w:r>
      <w:r>
        <w:rPr>
          <w:rFonts w:ascii="Arial Narrow" w:hAnsi="Arial Narrow"/>
          <w:b w:val="false"/>
          <w:i w:val="false"/>
          <w:caps w:val="false"/>
          <w:smallCaps w:val="false"/>
          <w:color w:val="000000"/>
          <w:spacing w:val="0"/>
          <w:sz w:val="26"/>
          <w:szCs w:val="26"/>
        </w:rPr>
        <w:t>en línea con el proceso de modernización administrativa y digitalización de los servicios públicos,</w:t>
      </w:r>
      <w:r>
        <w:rPr>
          <w:rFonts w:ascii="Arial Narrow" w:hAnsi="Arial Narrow"/>
          <w:b w:val="false"/>
          <w:i w:val="false"/>
          <w:caps w:val="false"/>
          <w:smallCaps w:val="false"/>
          <w:color w:val="242424"/>
          <w:spacing w:val="0"/>
          <w:sz w:val="26"/>
          <w:szCs w:val="26"/>
        </w:rPr>
        <w:t xml:space="preserve"> los dípticos informativos se enviarán por correo postal a las personas físicas en los próximos días para facilitar el trámite. No obstante, y en cumplimiento de la Ley 39/2015 sobre la obligación de relacionarse de forma electrónica con la Administración, las personas jurídicas —como empresas, cooperativas o fundaciones— no recibirán estos documentos por carta, sino que estarán a su disposición exclusivamente a través de la Dirección Electrónica Habilitada Única (DEHú). De forma extensiva, los dípticos de las personas físicas también han sido remitidos a la DEHú, independientemente de que los reciban posteriormente de forma física.</w:t>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242424"/>
          <w:spacing w:val="0"/>
          <w:sz w:val="26"/>
          <w:szCs w:val="26"/>
        </w:rPr>
      </w:r>
    </w:p>
    <w:p>
      <w:pPr>
        <w:pStyle w:val="BodyText"/>
        <w:widowControl/>
        <w:spacing w:lineRule="auto" w:line="240" w:before="0" w:after="0"/>
        <w:ind w:hanging="0" w:left="0" w:right="0"/>
        <w:jc w:val="both"/>
        <w:rPr/>
      </w:pPr>
      <w:bookmarkStart w:id="0" w:name="x_gmail-p-rc_7045ece6231e02f6-22"/>
      <w:bookmarkEnd w:id="0"/>
      <w:r>
        <w:rPr>
          <w:rFonts w:ascii="Arial Narrow" w:hAnsi="Arial Narrow"/>
          <w:b w:val="false"/>
          <w:i w:val="false"/>
          <w:caps w:val="false"/>
          <w:smallCaps w:val="false"/>
          <w:color w:val="242424"/>
          <w:spacing w:val="0"/>
          <w:sz w:val="26"/>
          <w:szCs w:val="26"/>
        </w:rPr>
        <w:t>Por último, se informa de que c</w:t>
      </w:r>
      <w:r>
        <w:rPr>
          <w:rFonts w:ascii="Arial Narrow" w:hAnsi="Arial Narrow"/>
          <w:b w:val="false"/>
          <w:i w:val="false"/>
          <w:caps w:val="false"/>
          <w:smallCaps w:val="false"/>
          <w:color w:val="242424"/>
          <w:spacing w:val="0"/>
          <w:sz w:val="26"/>
          <w:szCs w:val="26"/>
        </w:rPr>
        <w:t xml:space="preserve">ualquier ciudadano interesado puede obtener sus documentos de pago directamente desde la página web </w:t>
      </w:r>
      <w:hyperlink r:id="rId2" w:tgtFrame="_blank">
        <w:r>
          <w:rPr>
            <w:rStyle w:val="Hyperlink"/>
            <w:rFonts w:ascii="Arial Narrow" w:hAnsi="Arial Narrow"/>
            <w:b w:val="false"/>
            <w:i w:val="false"/>
            <w:caps w:val="false"/>
            <w:smallCaps w:val="false"/>
            <w:color w:val="242424"/>
            <w:spacing w:val="0"/>
            <w:sz w:val="26"/>
            <w:szCs w:val="26"/>
          </w:rPr>
          <w:t>recaudacion.jerez.es</w:t>
        </w:r>
      </w:hyperlink>
      <w:r>
        <w:rPr>
          <w:rFonts w:ascii="Arial Narrow" w:hAnsi="Arial Narrow"/>
          <w:b w:val="false"/>
          <w:i w:val="false"/>
          <w:caps w:val="false"/>
          <w:smallCaps w:val="false"/>
          <w:color w:val="242424"/>
          <w:spacing w:val="0"/>
          <w:sz w:val="26"/>
          <w:szCs w:val="26"/>
        </w:rPr>
        <w:t xml:space="preserve">,  solicitarlos mediante el correo electrónico </w:t>
      </w:r>
      <w:hyperlink r:id="rId3">
        <w:r>
          <w:rPr>
            <w:rStyle w:val="Hyperlink"/>
            <w:rFonts w:ascii="Arial Narrow" w:hAnsi="Arial Narrow"/>
            <w:b w:val="false"/>
            <w:i w:val="false"/>
            <w:caps w:val="false"/>
            <w:smallCaps w:val="false"/>
            <w:color w:val="242424"/>
            <w:spacing w:val="0"/>
            <w:sz w:val="26"/>
            <w:szCs w:val="26"/>
          </w:rPr>
          <w:t>dipticos.recaudacion@aytojerez.es</w:t>
        </w:r>
      </w:hyperlink>
      <w:r>
        <w:rPr>
          <w:rFonts w:ascii="Arial Narrow" w:hAnsi="Arial Narrow"/>
          <w:b w:val="false"/>
          <w:i w:val="false"/>
          <w:caps w:val="false"/>
          <w:smallCaps w:val="false"/>
          <w:color w:val="242424"/>
          <w:spacing w:val="0"/>
          <w:sz w:val="26"/>
          <w:szCs w:val="26"/>
        </w:rPr>
        <w:t xml:space="preserve">, existiendo además un servicio de suscripción para el envío de esta información por e-mail. </w:t>
      </w:r>
    </w:p>
    <w:p>
      <w:pPr>
        <w:pStyle w:val="BodyText"/>
        <w:widowControl/>
        <w:spacing w:lineRule="auto" w:line="240" w:before="0" w:after="0"/>
        <w:ind w:hanging="0" w:left="0" w:right="0"/>
        <w:jc w:val="both"/>
        <w:rPr>
          <w:rFonts w:ascii="Arial Narrow" w:hAnsi="Arial Narrow"/>
          <w:b w:val="false"/>
          <w:i w:val="false"/>
          <w:caps w:val="false"/>
          <w:smallCaps w:val="false"/>
          <w:color w:val="242424"/>
          <w:spacing w:val="0"/>
          <w:sz w:val="26"/>
          <w:szCs w:val="26"/>
        </w:rPr>
      </w:pPr>
      <w:r>
        <w:rPr/>
      </w:r>
    </w:p>
    <w:p>
      <w:pPr>
        <w:pStyle w:val="BodyText"/>
        <w:widowControl/>
        <w:spacing w:lineRule="auto" w:line="240" w:before="0" w:after="0"/>
        <w:ind w:hanging="0" w:left="0" w:right="0"/>
        <w:jc w:val="both"/>
        <w:rPr/>
      </w:pPr>
      <w:r>
        <w:rPr>
          <w:rFonts w:ascii="Arial Narrow" w:hAnsi="Arial Narrow"/>
          <w:b w:val="false"/>
          <w:i w:val="false"/>
          <w:caps w:val="false"/>
          <w:smallCaps w:val="false"/>
          <w:color w:val="000000"/>
          <w:spacing w:val="0"/>
          <w:sz w:val="26"/>
          <w:szCs w:val="26"/>
        </w:rPr>
        <w:t>De forma complementaria, se remitirán comunicaciones específicas a los contribuyentes con recibos domiciliados, informando de los importes que serán cargados en cuenta durante la última quincena del periodo voluntario. Igualmente, las personas adheridas a planes personalizados de pago recibirán el detalle de las cuotas mensuales correspondientes.</w:t>
      </w:r>
    </w:p>
    <w:p>
      <w:pPr>
        <w:pStyle w:val="BodyText"/>
        <w:widowControl/>
        <w:spacing w:lineRule="auto" w:line="240" w:before="0" w:after="0"/>
        <w:ind w:hanging="0" w:left="0" w:right="0"/>
        <w:jc w:val="both"/>
        <w:rPr>
          <w:rFonts w:ascii="Arial Narrow" w:hAnsi="Arial Narrow"/>
          <w:b w:val="false"/>
          <w:i w:val="false"/>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r>
    </w:p>
    <w:p>
      <w:pPr>
        <w:pStyle w:val="BodyText"/>
        <w:widowControl/>
        <w:spacing w:lineRule="auto" w:line="240" w:before="0" w:after="0"/>
        <w:ind w:hanging="0" w:left="0" w:right="0"/>
        <w:jc w:val="both"/>
        <w:rPr>
          <w:rFonts w:ascii="Arial Narrow" w:hAnsi="Arial Narrow"/>
          <w:b w:val="false"/>
          <w:i w:val="false"/>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r>
    </w:p>
    <w:p>
      <w:pPr>
        <w:pStyle w:val="NormalWeb"/>
        <w:jc w:val="both"/>
        <w:textAlignment w:val="baseline"/>
        <w:rPr>
          <w:rFonts w:ascii="Arial Narrow" w:hAnsi="Arial Narrow"/>
          <w:sz w:val="26"/>
          <w:szCs w:val="26"/>
        </w:rPr>
      </w:pPr>
      <w:r>
        <w:rPr/>
      </w:r>
    </w:p>
    <w:sectPr>
      <w:headerReference w:type="even" r:id="rId4"/>
      <w:headerReference w:type="default" r:id="rId5"/>
      <w:headerReference w:type="first" r:id="rId6"/>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95"/>
  <w:defaultTabStop w:val="708"/>
  <w:autoHyphenation w:val="true"/>
  <w:hyphenationZone w:val="425"/>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ecaudacion.jerez.es/" TargetMode="External"/><Relationship Id="rId3" Type="http://schemas.openxmlformats.org/officeDocument/2006/relationships/hyperlink" Target="mailto:dipticos.recaudacion@aytojerez.e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322</TotalTime>
  <Application>LibreOffice/7.6.7.2$Windows_X86_64 LibreOffice_project/dd47e4b30cb7dab30588d6c79c651f218165e3c5</Application>
  <AppVersion>15.0000</AppVersion>
  <Pages>2</Pages>
  <Words>553</Words>
  <Characters>3067</Characters>
  <CharactersWithSpaces>3612</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2026-04-10T12:20:00Z</cp:lastPrinted>
  <dcterms:modified xsi:type="dcterms:W3CDTF">2026-04-17T10:20:40Z</dcterms:modified>
  <cp:revision>78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