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val="clear" w:color="auto" w:fill="FFFFFF"/>
        <w:tabs>
          <w:tab w:val="clear" w:pos="708"/>
          <w:tab w:val="left" w:pos="729" w:leader="none"/>
        </w:tabs>
        <w:rPr>
          <w:rStyle w:val="Strong"/>
          <w:rFonts w:ascii="Arial Narrow" w:hAnsi="Arial Narrow" w:eastAsia="Arial" w:cs="Arial Narrow"/>
          <w:sz w:val="40"/>
          <w:szCs w:val="40"/>
          <w:lang w:eastAsia="es-ES_tradnl"/>
        </w:rPr>
      </w:pPr>
      <w:r>
        <w:rPr>
          <w:rFonts w:eastAsia="Arial" w:cs="Arial Narrow" w:ascii="Arial Narrow" w:hAnsi="Arial Narrow"/>
          <w:sz w:val="40"/>
          <w:szCs w:val="40"/>
          <w:lang w:eastAsia="es-ES_tradnl"/>
        </w:rPr>
      </w:r>
    </w:p>
    <w:p>
      <w:pPr>
        <w:pStyle w:val="FirstParagraph"/>
        <w:spacing w:lineRule="auto" w:line="240"/>
        <w:rPr>
          <w:sz w:val="40"/>
          <w:szCs w:val="40"/>
        </w:rPr>
      </w:pPr>
      <w:r>
        <w:rPr>
          <w:rFonts w:eastAsia="Malgun Gothic" w:cs="Helvetica" w:ascii="Arial Narrow" w:hAnsi="Arial Narrow"/>
          <w:b/>
          <w:bCs/>
          <w:i w:val="false"/>
          <w:caps w:val="false"/>
          <w:smallCaps w:val="false"/>
          <w:color w:val="000000"/>
          <w:spacing w:val="0"/>
          <w:sz w:val="40"/>
          <w:szCs w:val="40"/>
          <w:lang w:eastAsia="es-ES_tradnl" w:bidi="hi-IN"/>
        </w:rPr>
        <w:t xml:space="preserve">La inversión en la barriada de La Guareña durante el actual mandato asciende a más de 400.000 euros, entre obras del PFEA y mejoras de infraestructuras </w:t>
      </w:r>
    </w:p>
    <w:p>
      <w:pPr>
        <w:pStyle w:val="BodyText"/>
        <w:widowControl/>
        <w:spacing w:lineRule="auto" w:line="240"/>
        <w:ind w:hanging="0" w:left="0" w:right="0"/>
        <w:jc w:val="left"/>
        <w:rPr>
          <w:rFonts w:ascii="Arial Narrow" w:hAnsi="Arial Narrow"/>
          <w:b w:val="false"/>
          <w:bCs w:val="false"/>
          <w:sz w:val="32"/>
          <w:szCs w:val="32"/>
        </w:rPr>
      </w:pPr>
      <w:r>
        <w:rPr>
          <w:rFonts w:ascii="Arial Narrow" w:hAnsi="Arial Narrow"/>
          <w:b w:val="false"/>
          <w:bCs w:val="false"/>
          <w:sz w:val="32"/>
          <w:szCs w:val="32"/>
        </w:rPr>
        <w:t>Susana Sánchez detalló en el Pleno las actuaciones realizadas en los últimos tres años “en respuesta a demandas históricas y dando solución, desde la legalidad, a problemas heredados del anterior Gobierno”</w:t>
      </w:r>
    </w:p>
    <w:p>
      <w:pPr>
        <w:pStyle w:val="BodyText"/>
        <w:widowControl/>
        <w:spacing w:lineRule="auto" w:line="240" w:before="0" w:after="0"/>
        <w:ind w:hanging="0" w:left="0" w:right="0"/>
        <w:jc w:val="both"/>
        <w:rPr>
          <w:b/>
          <w:bCs/>
          <w:i w:val="false"/>
          <w:i w:val="false"/>
          <w:caps w:val="false"/>
          <w:smallCaps w:val="false"/>
          <w:spacing w:val="0"/>
        </w:rPr>
      </w:pPr>
      <w:r>
        <w:rPr>
          <w:b/>
          <w:bCs/>
          <w:i w:val="false"/>
          <w:caps w:val="false"/>
          <w:smallCaps w:val="false"/>
          <w:spacing w:val="0"/>
        </w:rPr>
      </w:r>
    </w:p>
    <w:p>
      <w:pPr>
        <w:pStyle w:val="BodyText"/>
        <w:widowControl/>
        <w:spacing w:lineRule="auto" w:line="240" w:before="0" w:after="0"/>
        <w:ind w:hanging="0" w:left="0" w:right="0"/>
        <w:jc w:val="both"/>
        <w:rPr>
          <w:rFonts w:ascii="Arial Narrow" w:hAnsi="Arial Narrow"/>
          <w:sz w:val="26"/>
          <w:szCs w:val="26"/>
        </w:rPr>
      </w:pPr>
      <w:r>
        <w:rPr>
          <w:rFonts w:ascii="Arial Narrow" w:hAnsi="Arial Narrow"/>
          <w:b/>
          <w:bCs/>
          <w:i w:val="false"/>
          <w:caps w:val="false"/>
          <w:smallCaps w:val="false"/>
          <w:spacing w:val="0"/>
          <w:sz w:val="26"/>
          <w:szCs w:val="26"/>
        </w:rPr>
        <w:t>21 de abril de 2026.</w:t>
      </w:r>
      <w:r>
        <w:rPr>
          <w:rFonts w:ascii="Arial Narrow" w:hAnsi="Arial Narrow"/>
          <w:b w:val="false"/>
          <w:i w:val="false"/>
          <w:caps w:val="false"/>
          <w:smallCaps w:val="false"/>
          <w:spacing w:val="0"/>
          <w:sz w:val="26"/>
          <w:szCs w:val="26"/>
        </w:rPr>
        <w:t xml:space="preserve"> La</w:t>
      </w:r>
      <w:r>
        <w:rPr>
          <w:rFonts w:cs="Century Gothic" w:ascii="Arial Narrow" w:hAnsi="Arial Narrow"/>
          <w:b w:val="false"/>
          <w:bCs w:val="false"/>
          <w:i w:val="false"/>
          <w:caps w:val="false"/>
          <w:smallCaps w:val="false"/>
          <w:color w:val="000000"/>
          <w:spacing w:val="0"/>
          <w:sz w:val="26"/>
          <w:szCs w:val="26"/>
        </w:rPr>
        <w:t xml:space="preserve"> teniente de alcaldesa de Medio Rural, Susana Sánchez, ha subrayado el compromiso del Gobierno municipal con la barriada rural de La Guareña a través de una gestión “responsable, dentro de la legalidad, y dando respuesta a necesidades históricas de la barriada”. Así lo afirmó la teniente de alcaldesa de Medio Rural, Susana Sánchez, durante su intervención en el Pleno Ordinario, dando respuesta a preguntas del Grupo Socialista sobre la situación de esta barriada rural, en la que el actual Gobierno ya ha invertido 407.812,87 euros, (a falta de poco más de un año para que termine la legislatura) frente los 305.762 euros destinados a esta población por el anterior Gobierno en todo su mandato. </w:t>
      </w:r>
    </w:p>
    <w:p>
      <w:pPr>
        <w:pStyle w:val="BodyText"/>
        <w:widowControl/>
        <w:spacing w:lineRule="auto" w:line="240" w:before="0" w:after="0"/>
        <w:ind w:hanging="0" w:left="0" w:right="0"/>
        <w:jc w:val="both"/>
        <w:rPr>
          <w:rFonts w:ascii="Arial Narrow" w:hAnsi="Arial Narrow"/>
          <w:sz w:val="26"/>
          <w:szCs w:val="26"/>
        </w:rPr>
      </w:pPr>
      <w:r>
        <w:rPr>
          <w:rFonts w:ascii="Arial Narrow" w:hAnsi="Arial Narrow"/>
          <w:sz w:val="26"/>
          <w:szCs w:val="26"/>
        </w:rPr>
      </w:r>
    </w:p>
    <w:p>
      <w:pPr>
        <w:pStyle w:val="BodyText"/>
        <w:widowControl/>
        <w:spacing w:lineRule="auto" w:line="240" w:before="0" w:after="0"/>
        <w:ind w:hanging="0" w:left="0" w:right="0"/>
        <w:jc w:val="both"/>
        <w:rPr>
          <w:rFonts w:ascii="Arial Narrow" w:hAnsi="Arial Narrow"/>
          <w:sz w:val="26"/>
          <w:szCs w:val="26"/>
        </w:rPr>
      </w:pPr>
      <w:r>
        <w:rPr>
          <w:rFonts w:cs="Century Gothic" w:ascii="Arial Narrow" w:hAnsi="Arial Narrow"/>
          <w:b w:val="false"/>
          <w:bCs w:val="false"/>
          <w:i w:val="false"/>
          <w:caps w:val="false"/>
          <w:smallCaps w:val="false"/>
          <w:color w:val="000000"/>
          <w:spacing w:val="0"/>
          <w:sz w:val="26"/>
          <w:szCs w:val="26"/>
        </w:rPr>
        <w:t>Durante su intervención en el Pleno, la responsable municipal abordó la situación del</w:t>
      </w:r>
      <w:bookmarkStart w:id="0" w:name="entradilla"/>
      <w:r>
        <w:rPr>
          <w:rFonts w:ascii="Arial Narrow" w:hAnsi="Arial Narrow"/>
          <w:sz w:val="26"/>
          <w:szCs w:val="26"/>
        </w:rPr>
        <w:t xml:space="preserve"> HRD del Hábitat Rural Diseminado de La Guareña, “que nosotros desarrollamos y lo dejamos listo en 2015”, y detalló las inversiones ejecutadas en esta barriada rural, además de problemas legales y técnicos que condicionan actuaciones en suministro y alumbrado.</w:t>
      </w:r>
      <w:bookmarkEnd w:id="0"/>
    </w:p>
    <w:p>
      <w:pPr>
        <w:pStyle w:val="FirstParagraph"/>
        <w:spacing w:lineRule="auto" w:line="240"/>
        <w:jc w:val="both"/>
        <w:rPr>
          <w:rFonts w:ascii="Arial Narrow" w:hAnsi="Arial Narrow"/>
          <w:sz w:val="26"/>
          <w:szCs w:val="26"/>
        </w:rPr>
      </w:pPr>
      <w:r>
        <w:rPr>
          <w:rFonts w:ascii="Arial Narrow" w:hAnsi="Arial Narrow"/>
          <w:sz w:val="26"/>
          <w:szCs w:val="26"/>
        </w:rPr>
        <w:t>En materia urbanística, l</w:t>
      </w:r>
      <w:bookmarkStart w:id="1" w:name="cuerpo-de-la-noticia"/>
      <w:r>
        <w:rPr>
          <w:rFonts w:ascii="Arial Narrow" w:hAnsi="Arial Narrow"/>
          <w:sz w:val="26"/>
          <w:szCs w:val="26"/>
        </w:rPr>
        <w:t xml:space="preserve">a responsable municipal explicó la complejidad de la situación actual en La Guareña debido principalmente al crecimiento irregular de viviendas producido en los últimos años, lo que ha dejado a la barriada fuera de los parámetros del HRD, </w:t>
      </w:r>
      <w:r>
        <w:rPr>
          <w:rFonts w:ascii="Arial Narrow" w:hAnsi="Arial Narrow"/>
          <w:sz w:val="26"/>
          <w:szCs w:val="26"/>
        </w:rPr>
        <w:t>según lo establecido en la Ley Urbanística Andaluza y su reglamento, impidiendo de hecho su aplicación; “esta circunstancia nos obliga a replantear</w:t>
      </w:r>
      <w:r>
        <w:rPr>
          <w:rFonts w:ascii="Arial Narrow" w:hAnsi="Arial Narrow"/>
          <w:sz w:val="26"/>
          <w:szCs w:val="26"/>
        </w:rPr>
        <w:t xml:space="preserve"> soluciones técnicas y jurídicas alternativas para avanzar en la regularización de la zona, siempre dentro del marco legal vigente. De todo ello ya está informada la delegada de alcaldía </w:t>
      </w:r>
      <w:r>
        <w:rPr>
          <w:rFonts w:ascii="Arial Narrow" w:hAnsi="Arial Narrow"/>
          <w:sz w:val="26"/>
          <w:szCs w:val="26"/>
        </w:rPr>
        <w:t>de la barriada</w:t>
      </w:r>
      <w:r>
        <w:rPr>
          <w:rFonts w:ascii="Arial Narrow" w:hAnsi="Arial Narrow"/>
          <w:sz w:val="26"/>
          <w:szCs w:val="26"/>
        </w:rPr>
        <w:t xml:space="preserve">”. </w:t>
      </w:r>
    </w:p>
    <w:p>
      <w:pPr>
        <w:pStyle w:val="BodyText"/>
        <w:spacing w:lineRule="auto" w:line="240"/>
        <w:jc w:val="both"/>
        <w:rPr>
          <w:rFonts w:ascii="Arial Narrow" w:hAnsi="Arial Narrow"/>
          <w:sz w:val="26"/>
          <w:szCs w:val="26"/>
        </w:rPr>
      </w:pPr>
      <w:r>
        <w:rPr>
          <w:rFonts w:ascii="Arial Narrow" w:hAnsi="Arial Narrow"/>
          <w:sz w:val="26"/>
          <w:szCs w:val="26"/>
        </w:rPr>
        <w:t xml:space="preserve">En relación a ello, Susana Sánchez señaló que el Ayuntamiento trabaja, pero no miente, y que no puede “saltarse la ley” para regularizar servicios o ejecutar obras en zonas </w:t>
      </w:r>
      <w:r>
        <w:rPr>
          <w:rFonts w:ascii="Arial Narrow" w:hAnsi="Arial Narrow"/>
          <w:sz w:val="26"/>
          <w:szCs w:val="26"/>
        </w:rPr>
        <w:t>no legalizadas</w:t>
      </w:r>
      <w:r>
        <w:rPr>
          <w:rFonts w:ascii="Arial Narrow" w:hAnsi="Arial Narrow"/>
          <w:sz w:val="26"/>
          <w:szCs w:val="26"/>
        </w:rPr>
        <w:t xml:space="preserve">”, refiriéndose </w:t>
      </w:r>
      <w:r>
        <w:rPr>
          <w:rFonts w:ascii="Arial Narrow" w:hAnsi="Arial Narrow"/>
          <w:sz w:val="26"/>
          <w:szCs w:val="26"/>
        </w:rPr>
        <w:t>con ello,</w:t>
      </w:r>
      <w:r>
        <w:rPr>
          <w:rFonts w:ascii="Arial Narrow" w:hAnsi="Arial Narrow"/>
          <w:sz w:val="26"/>
          <w:szCs w:val="26"/>
        </w:rPr>
        <w:t xml:space="preserve"> también, a la imposibilidad de prometer ni ejecutar suministros de agua y luz ni el asfaltado en tramos que afecten a una vía pecuaria”, una restricción que conoce bien también la oposición.</w:t>
      </w:r>
    </w:p>
    <w:p>
      <w:pPr>
        <w:pStyle w:val="BodyText"/>
        <w:spacing w:lineRule="auto" w:line="240"/>
        <w:jc w:val="both"/>
        <w:rPr>
          <w:rFonts w:ascii="Arial Narrow" w:hAnsi="Arial Narrow"/>
          <w:sz w:val="26"/>
          <w:szCs w:val="26"/>
        </w:rPr>
      </w:pPr>
      <w:r>
        <w:rPr>
          <w:rFonts w:ascii="Arial Narrow" w:hAnsi="Arial Narrow"/>
          <w:sz w:val="26"/>
          <w:szCs w:val="26"/>
        </w:rPr>
        <w:t xml:space="preserve">En materia de inversiones históricas, la responsable municipal comparó la etapa anterior con la actual, en la que se ha impulsado una planificación anual sostenida, dando respuesta a necesidades históricas. De este modo, y en relación al anterior mandato, Susana Sánchez detalló las inversiones del PFEA para obras bianuales, que ascendieron a 88.000 euros en 2019; 101.000 euros en 2021 y 105.000 euros en 2023 (estas últimas ejecutadas por el actual Gobierno al ser obras bianuales). </w:t>
      </w:r>
    </w:p>
    <w:p>
      <w:pPr>
        <w:pStyle w:val="BodyText"/>
        <w:spacing w:lineRule="auto" w:line="240"/>
        <w:jc w:val="both"/>
        <w:rPr>
          <w:rFonts w:ascii="Arial Narrow" w:hAnsi="Arial Narrow"/>
          <w:sz w:val="26"/>
          <w:szCs w:val="26"/>
        </w:rPr>
      </w:pPr>
      <w:r>
        <w:rPr>
          <w:rFonts w:ascii="Arial Narrow" w:hAnsi="Arial Narrow"/>
          <w:sz w:val="26"/>
          <w:szCs w:val="26"/>
        </w:rPr>
        <w:t xml:space="preserve">Asimismo, explicó otras actuaciones llevadas a cabo en La Guareña: en 2020 se instalaron equipos biosaludables, se arreglaron caminos diversos y se realizó una labor de limpieza de arroyos, sumando todo ello un montante de 10.936 euros de fondos municipales. </w:t>
      </w:r>
    </w:p>
    <w:p>
      <w:pPr>
        <w:pStyle w:val="BodyText"/>
        <w:spacing w:lineRule="auto" w:line="240"/>
        <w:jc w:val="both"/>
        <w:rPr>
          <w:rFonts w:ascii="Arial Narrow" w:hAnsi="Arial Narrow"/>
          <w:sz w:val="26"/>
          <w:szCs w:val="26"/>
        </w:rPr>
      </w:pPr>
      <w:r>
        <w:rPr>
          <w:rFonts w:ascii="Arial Narrow" w:hAnsi="Arial Narrow"/>
          <w:sz w:val="26"/>
          <w:szCs w:val="26"/>
        </w:rPr>
        <w:t>En total, la suma de las inversiones en obras bianuales del PFEA, más  las cantidades destinadas a las referidas actuaciones ascendieron a 305.762,45 euros.</w:t>
      </w:r>
    </w:p>
    <w:p>
      <w:pPr>
        <w:pStyle w:val="BodyText"/>
        <w:spacing w:lineRule="auto" w:line="240"/>
        <w:jc w:val="both"/>
        <w:rPr>
          <w:rFonts w:ascii="Arial Narrow" w:hAnsi="Arial Narrow"/>
          <w:sz w:val="26"/>
          <w:szCs w:val="26"/>
        </w:rPr>
      </w:pPr>
      <w:r>
        <w:rPr>
          <w:rFonts w:ascii="Arial Narrow" w:hAnsi="Arial Narrow"/>
          <w:sz w:val="26"/>
          <w:szCs w:val="26"/>
        </w:rPr>
        <w:t xml:space="preserve">En cuanto al presente mandato, recordó que el actual Ejecutivo anunció una programación anual, en lugar de bianual, por considerar que La Guareña es una de las barriadas con mayor déficit histórico en materia de infraestructuras. De este modo, en el marco del PFEA, se invirtieron 111.157 euros en 2024; 111.202 euros en 2025 y 111.300 euros en 2026, sumando en estos tres años un total de 333.660 euros, “cifra que ya de por sí supera la inversión de toda la legislatura anterior”. </w:t>
      </w:r>
    </w:p>
    <w:p>
      <w:pPr>
        <w:pStyle w:val="BodyText"/>
        <w:spacing w:lineRule="auto" w:line="240"/>
        <w:jc w:val="both"/>
        <w:rPr>
          <w:rFonts w:ascii="Arial Narrow" w:hAnsi="Arial Narrow"/>
          <w:sz w:val="26"/>
          <w:szCs w:val="26"/>
        </w:rPr>
      </w:pPr>
      <w:r>
        <w:rPr>
          <w:rFonts w:ascii="Arial Narrow" w:hAnsi="Arial Narrow"/>
          <w:sz w:val="26"/>
          <w:szCs w:val="26"/>
        </w:rPr>
        <w:t>A todo ello, hay que sumar otras actuaciones de dotación de equipamientos y mejora de servicios ejecutadas en lo que va de legislatura que sumaron un montante económico de 74.152 euros: la instalación de un parque infantil en 2024 y de juegos calistenia en 2025; el adecentamiento de caminos de la Guareña, El Mojo y Cuartillos; labores de mejora del camino entre La Guareña a la depuradora; la instalación de farolas fotovoltaicas con contrato meno; y la limpieza de arroyos.</w:t>
      </w:r>
    </w:p>
    <w:p>
      <w:pPr>
        <w:pStyle w:val="FirstParagraph"/>
        <w:spacing w:lineRule="auto" w:line="240"/>
        <w:jc w:val="both"/>
        <w:rPr>
          <w:rFonts w:ascii="Arial Narrow" w:hAnsi="Arial Narrow"/>
          <w:sz w:val="26"/>
          <w:szCs w:val="26"/>
        </w:rPr>
      </w:pPr>
      <w:r>
        <w:rPr>
          <w:rFonts w:ascii="Arial Narrow" w:hAnsi="Arial Narrow"/>
          <w:sz w:val="26"/>
          <w:szCs w:val="26"/>
        </w:rPr>
        <w:t xml:space="preserve">En total, entre las inversiones en obras de PFEA, y las mejoras realizadas en servicios, equipamientos e infraestructuras, el Gobierno ha cifrado en 407.000 euros el total ya invertido en lo que va de legislatura en La Guareña, incluyendo en esta cantidad los 74.000 euros procedentes de la Delegación de Medio Rural para las citadas mejoras; “es decir, ya hemos superado la inversión hecha por el Gobierno Socialista y aún no ha acabado la legislatura”, señaló Susana Sánchez. </w:t>
      </w:r>
    </w:p>
    <w:p>
      <w:pPr>
        <w:pStyle w:val="BodyText"/>
        <w:spacing w:lineRule="auto" w:line="240"/>
        <w:jc w:val="both"/>
        <w:rPr>
          <w:rFonts w:ascii="Arial Narrow" w:hAnsi="Arial Narrow"/>
          <w:sz w:val="26"/>
          <w:szCs w:val="26"/>
        </w:rPr>
      </w:pPr>
      <w:r>
        <w:rPr>
          <w:rFonts w:ascii="Arial Narrow" w:hAnsi="Arial Narrow"/>
          <w:sz w:val="26"/>
          <w:szCs w:val="26"/>
        </w:rPr>
        <w:t xml:space="preserve">Respecto al alumbrado, la teniente de alcaldesa señaló que existe “un problema heredado, como es que las farolas fotovoltaicas quedaron fuera del pliego de mantenimiento del alumbrado público durante el anterior Gobierno, lo que impide su sustitución ordinaria”. En este sentido, explicó que “la normativa vigente sólo permite un contrato menor de suministro al año, con capacidad para renovar 33 farolas, por lo que ya se trabaja en un nuevo pliego para incorporar el mantenimiento de estas instalaciones y solventar la situación”. </w:t>
      </w:r>
    </w:p>
    <w:p>
      <w:pPr>
        <w:pStyle w:val="BodyText"/>
        <w:widowControl/>
        <w:spacing w:lineRule="auto" w:line="240" w:before="0" w:after="0"/>
        <w:ind w:hanging="0" w:left="0" w:right="0"/>
        <w:jc w:val="both"/>
        <w:rPr>
          <w:rFonts w:ascii="Arial Narrow" w:hAnsi="Arial Narrow"/>
          <w:sz w:val="26"/>
          <w:szCs w:val="26"/>
        </w:rPr>
      </w:pPr>
      <w:r>
        <w:rPr>
          <w:rFonts w:cs="Century Gothic" w:ascii="Arial Narrow" w:hAnsi="Arial Narrow"/>
          <w:b w:val="false"/>
          <w:bCs w:val="false"/>
          <w:i w:val="false"/>
          <w:caps w:val="false"/>
          <w:smallCaps w:val="false"/>
          <w:color w:val="000000"/>
          <w:spacing w:val="0"/>
          <w:sz w:val="26"/>
          <w:szCs w:val="26"/>
        </w:rPr>
        <w:t>La responsable apuntó igualmente a otros asuntos pendientes, como la adaptación del HRD a las nuevas condiciones urbanísticas y la resolución de 14 puntos de luz iniciados en 2011, que ahora se sacarán adelante. “Nosotros trabajamos por los vecinos de La Guareña. No vamos a mentir ni a engañar”, concluyó</w:t>
      </w:r>
      <w:bookmarkEnd w:id="1"/>
    </w:p>
    <w:sectPr>
      <w:headerReference w:type="even" r:id="rId2"/>
      <w:headerReference w:type="default" r:id="rId3"/>
      <w:headerReference w:type="firs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Tahoma">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Wingdings">
    <w:charset w:val="00"/>
    <w:family w:val="roman"/>
    <w:pitch w:val="variable"/>
  </w:font>
  <w:font w:name="Symbol">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Liberation Sans">
    <w:altName w:val="Arial"/>
    <w:charset w:val="00"/>
    <w:family w:val="roman"/>
    <w:pitch w:val="variable"/>
  </w:font>
  <w:font w:name="Century Gothic">
    <w:charset w:val="00"/>
    <w:family w:val="roman"/>
    <w:pitch w:val="variable"/>
  </w:font>
  <w:font w:name="Liberation Mono">
    <w:altName w:val="Courier New"/>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36713" t="0" r="-5"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36713" t="0" r="-5"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20"/>
  <w:defaultTabStop w:val="708"/>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3">
    <w:name w:val="Heading 3"/>
    <w:basedOn w:val="Normal"/>
    <w:next w:val="Normal"/>
    <w:qFormat/>
    <w:pPr>
      <w:keepNext w:val="true"/>
      <w:keepLines/>
      <w:spacing w:before="40" w:after="0"/>
      <w:outlineLvl w:val="2"/>
    </w:pPr>
    <w:rPr>
      <w:rFonts w:ascii="Arial" w:hAnsi="Arial" w:eastAsia="DejaVu Sans" w:cs="DejaVu Sans"/>
      <w:color w:themeColor="accent1" w:themeShade="7f" w:val="0B5101"/>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extoindependienteCar" w:customStyle="1">
    <w:name w:val="Texto independiente Car"/>
    <w:qFormat/>
    <w:rPr>
      <w:rFonts w:ascii="Tahoma" w:hAnsi="Tahoma" w:eastAsia="Times New Roman" w:cs="Tahoma"/>
      <w:color w:val="000000"/>
      <w:szCs w:val="24"/>
    </w:rPr>
  </w:style>
  <w:style w:type="character" w:styleId="TextodegloboCar2" w:customStyle="1">
    <w:name w:val="Texto de globo Car2"/>
    <w:qFormat/>
    <w:rPr>
      <w:rFonts w:ascii="Segoe UI" w:hAnsi="Segoe UI" w:eastAsia="Times New Roman" w:cs="Segoe UI"/>
      <w:color w:val="000000"/>
      <w:sz w:val="18"/>
      <w:szCs w:val="18"/>
    </w:rPr>
  </w:style>
  <w:style w:type="character" w:styleId="TextodegloboCar1" w:customStyle="1">
    <w:name w:val="Texto de globo Car1"/>
    <w:qFormat/>
    <w:rPr>
      <w:rFonts w:ascii="Segoe UI" w:hAnsi="Segoe UI" w:cs="Segoe UI"/>
      <w:kern w:val="2"/>
      <w:sz w:val="18"/>
      <w:szCs w:val="18"/>
      <w:lang w:eastAsia="zh-CN"/>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TextodegloboCar" w:customStyle="1">
    <w:name w:val="Texto de globo Car"/>
    <w:qFormat/>
    <w:rPr>
      <w:rFonts w:ascii="Segoe UI" w:hAnsi="Segoe UI" w:cs="Segoe UI"/>
      <w:sz w:val="18"/>
      <w:szCs w:val="18"/>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Textoennegrita1" w:customStyle="1">
    <w:name w:val="Texto en negrita1"/>
    <w:qFormat/>
    <w:rPr>
      <w:b/>
      <w:bCs/>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Citation-92">
    <w:name w:val="citation-92"/>
    <w:basedOn w:val="DefaultParagraphFont"/>
    <w:qFormat/>
    <w:rPr/>
  </w:style>
  <w:style w:type="character" w:styleId="Citation-93">
    <w:name w:val="citation-93"/>
    <w:basedOn w:val="DefaultParagraphFont"/>
    <w:qFormat/>
    <w:rPr/>
  </w:style>
  <w:style w:type="character" w:styleId="Citation-94">
    <w:name w:val="citation-94"/>
    <w:basedOn w:val="DefaultParagraphFont"/>
    <w:qFormat/>
    <w:rPr/>
  </w:style>
  <w:style w:type="character" w:styleId="Citation-95">
    <w:name w:val="citation-95"/>
    <w:basedOn w:val="DefaultParagraphFont"/>
    <w:qFormat/>
    <w:rPr/>
  </w:style>
  <w:style w:type="character" w:styleId="Citation-96">
    <w:name w:val="citation-96"/>
    <w:basedOn w:val="DefaultParagraphFont"/>
    <w:qFormat/>
    <w:rPr/>
  </w:style>
  <w:style w:type="character" w:styleId="Citation-97">
    <w:name w:val="citation-97"/>
    <w:basedOn w:val="DefaultParagraphFont"/>
    <w:qFormat/>
    <w:rPr/>
  </w:style>
  <w:style w:type="character" w:styleId="Citation-98">
    <w:name w:val="citation-98"/>
    <w:basedOn w:val="DefaultParagraphFont"/>
    <w:qFormat/>
    <w:rPr/>
  </w:style>
  <w:style w:type="character" w:styleId="Citation-99">
    <w:name w:val="citation-99"/>
    <w:basedOn w:val="DefaultParagraphFont"/>
    <w:qFormat/>
    <w:rPr/>
  </w:style>
  <w:style w:type="character" w:styleId="Citation-100">
    <w:name w:val="citation-100"/>
    <w:basedOn w:val="DefaultParagraphFont"/>
    <w:qFormat/>
    <w:rPr/>
  </w:style>
  <w:style w:type="character" w:styleId="Citation-101">
    <w:name w:val="citation-101"/>
    <w:basedOn w:val="DefaultParagraphFont"/>
    <w:qFormat/>
    <w:rPr/>
  </w:style>
  <w:style w:type="character" w:styleId="Citation-102">
    <w:name w:val="citation-102"/>
    <w:basedOn w:val="DefaultParagraphFont"/>
    <w:qFormat/>
    <w:rPr/>
  </w:style>
  <w:style w:type="character" w:styleId="Citation-103">
    <w:name w:val="citation-103"/>
    <w:basedOn w:val="DefaultParagraphFont"/>
    <w:qFormat/>
    <w:rPr/>
  </w:style>
  <w:style w:type="character" w:styleId="Citation-104">
    <w:name w:val="citation-104"/>
    <w:basedOn w:val="DefaultParagraphFont"/>
    <w:qFormat/>
    <w:rPr/>
  </w:style>
  <w:style w:type="character" w:styleId="Citation-105">
    <w:name w:val="citation-105"/>
    <w:basedOn w:val="DefaultParagraphFont"/>
    <w:qFormat/>
    <w:rPr/>
  </w:style>
  <w:style w:type="character" w:styleId="Citation-106">
    <w:name w:val="citation-106"/>
    <w:basedOn w:val="DefaultParagraphFont"/>
    <w:qFormat/>
    <w:rPr/>
  </w:style>
  <w:style w:type="character" w:styleId="Citation-107">
    <w:name w:val="citation-107"/>
    <w:basedOn w:val="DefaultParagraphFont"/>
    <w:qFormat/>
    <w:rPr/>
  </w:style>
  <w:style w:type="character" w:styleId="Button-label">
    <w:name w:val="button-label"/>
    <w:basedOn w:val="DefaultParagraphFont"/>
    <w:qFormat/>
    <w:rPr/>
  </w:style>
  <w:style w:type="character" w:styleId="Citation-108">
    <w:name w:val="citation-108"/>
    <w:basedOn w:val="DefaultParagraphFont"/>
    <w:qFormat/>
    <w:rPr/>
  </w:style>
  <w:style w:type="character" w:styleId="Ninguno">
    <w:name w:val="Ninguno"/>
    <w:qFormat/>
    <w:rPr>
      <w:lang w:val="es-ES_tradn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 w:customStyle="1">
    <w:name w:val="caption11"/>
    <w:basedOn w:val="Normal"/>
    <w:qFormat/>
    <w:pPr>
      <w:suppressLineNumbers/>
      <w:spacing w:before="120" w:after="120"/>
    </w:pPr>
    <w:rPr>
      <w:rFonts w:cs="Arial"/>
      <w:i/>
      <w:iCs/>
    </w:rPr>
  </w:style>
  <w:style w:type="paragraph" w:styleId="Cabeceraypie">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val="es-ES" w:eastAsia="zh-CN" w:bidi="hi-IN"/>
    </w:rPr>
  </w:style>
  <w:style w:type="paragraph" w:styleId="Caption111" w:customStyle="1">
    <w:name w:val="caption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BalloonText">
    <w:name w:val="Balloon Text"/>
    <w:basedOn w:val="Normal"/>
    <w:qFormat/>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val="es-ES" w:eastAsia="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val="es-ES" w:eastAsia="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scripcin3" w:customStyle="1">
    <w:name w:val="Descripción3"/>
    <w:basedOn w:val="Normal"/>
    <w:qFormat/>
    <w:pPr>
      <w:spacing w:before="120" w:after="120"/>
    </w:pPr>
    <w:rPr>
      <w:rFonts w:cs="Arial"/>
      <w:i/>
      <w:iCs/>
    </w:rPr>
  </w:style>
  <w:style w:type="paragraph" w:styleId="Asuntodelcomentario1" w:customStyle="1">
    <w:name w:val="Asunto del comentario1"/>
    <w:qFormat/>
    <w:pPr>
      <w:widowControl/>
      <w:suppressAutoHyphens w:val="true"/>
      <w:bidi w:val="0"/>
      <w:spacing w:before="0" w:after="0"/>
      <w:jc w:val="left"/>
    </w:pPr>
    <w:rPr>
      <w:rFonts w:ascii="Arial" w:hAnsi="Arial" w:eastAsia="Arial" w:cs="DejaVu Sans" w:asciiTheme="minorHAnsi" w:cstheme="minorBidi" w:eastAsiaTheme="minorHAnsi" w:hAnsiTheme="minorHAnsi"/>
      <w:b/>
      <w:bCs/>
      <w:color w:val="auto"/>
      <w:kern w:val="0"/>
      <w:sz w:val="20"/>
      <w:szCs w:val="24"/>
      <w:lang w:val="es-ES" w:eastAsia="en-US" w:bidi="ar-SA"/>
    </w:rPr>
  </w:style>
  <w:style w:type="paragraph" w:styleId="Textocomentario1" w:customStyle="1">
    <w:name w:val="Texto comentario1"/>
    <w:basedOn w:val="Normal"/>
    <w:qFormat/>
    <w:pPr/>
    <w:rPr>
      <w:sz w:val="20"/>
    </w:rPr>
  </w:style>
  <w:style w:type="paragraph" w:styleId="Textodeglobo1" w:customStyle="1">
    <w:name w:val="Texto de globo1"/>
    <w:basedOn w:val="Normal"/>
    <w:qFormat/>
    <w:pPr/>
    <w:rPr>
      <w:rFonts w:ascii="Segoe UI" w:hAnsi="Segoe UI" w:cs="Segoe UI"/>
      <w:sz w:val="18"/>
      <w:szCs w:val="18"/>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Sangra2detindependiente1" w:customStyle="1">
    <w:name w:val="Sangría 2 de t. independiente1"/>
    <w:basedOn w:val="Normal"/>
    <w:qFormat/>
    <w:pPr>
      <w:ind w:left="360"/>
      <w:jc w:val="both"/>
    </w:pPr>
    <w:rPr>
      <w:bCs/>
      <w:sz w:val="28"/>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pPr>
    <w:rPr/>
  </w:style>
  <w:style w:type="paragraph" w:styleId="P1" w:customStyle="1">
    <w:name w:val="p1"/>
    <w:basedOn w:val="Normal"/>
    <w:qFormat/>
    <w:pPr>
      <w:spacing w:lineRule="atLeast" w:line="182"/>
    </w:pPr>
    <w:rPr>
      <w:rFonts w:ascii="Arial" w:hAnsi="Arial" w:cs="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Encabezado1" w:customStyle="1">
    <w:name w:val="Encabezado 1"/>
    <w:basedOn w:val="Normal"/>
    <w:next w:val="Normal"/>
    <w:qFormat/>
    <w:pPr>
      <w:keepNext w:val="true"/>
      <w:jc w:val="center"/>
    </w:pPr>
    <w:rPr>
      <w:rFonts w:ascii="Arial" w:hAnsi="Arial" w:cs="Arial"/>
      <w:b/>
      <w:bCs/>
      <w:sz w:val="22"/>
    </w:rPr>
  </w:style>
  <w:style w:type="paragraph" w:styleId="Mce" w:customStyle="1">
    <w:name w:val="mce"/>
    <w:basedOn w:val="Normal"/>
    <w:qFormat/>
    <w:pPr>
      <w:suppressAutoHyphens w:val="false"/>
      <w:spacing w:before="280" w:after="280"/>
    </w:pPr>
    <w:rPr>
      <w:rFonts w:ascii="Times New Roman" w:hAnsi="Times New Roman" w:cs="Times New Roman"/>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Prrafodelista1" w:customStyle="1">
    <w:name w:val="Párrafo de lista1"/>
    <w:basedOn w:val="Normal"/>
    <w:qFormat/>
    <w:pPr>
      <w:spacing w:before="0" w:after="200"/>
      <w:ind w:left="720"/>
      <w:contextualSpacing/>
    </w:pPr>
    <w:rPr>
      <w:rFonts w:ascii="Calibri" w:hAnsi="Calibri" w:eastAsia="Calibri" w:cs="Calibri"/>
    </w:rPr>
  </w:style>
  <w:style w:type="paragraph" w:styleId="Epgrafe1" w:customStyle="1">
    <w:name w:val="Epígrafe1"/>
    <w:basedOn w:val="Normal"/>
    <w:qFormat/>
    <w:pPr>
      <w:spacing w:before="120" w:after="120"/>
    </w:pPr>
    <w:rPr>
      <w:rFonts w:cs="Arial"/>
      <w:i/>
      <w:iCs/>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pacing w:before="120" w:after="120"/>
    </w:pPr>
    <w:rPr>
      <w:rFonts w:cs="Arial"/>
      <w:i/>
      <w:iCs/>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pacing w:before="120" w:after="120"/>
    </w:pPr>
    <w:rPr>
      <w:rFonts w:cs="Arial"/>
      <w:i/>
      <w:iCs/>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pacing w:before="120" w:after="120"/>
    </w:pPr>
    <w:rPr>
      <w:rFonts w:cs="Arial"/>
      <w:i/>
      <w:iCs/>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pacing w:before="120" w:after="120"/>
    </w:pPr>
    <w:rPr>
      <w:rFonts w:cs="Arial"/>
      <w:i/>
      <w:iCs/>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Puesto1" w:customStyle="1">
    <w:name w:val="Puesto1"/>
    <w:basedOn w:val="Normal"/>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pacing w:before="120" w:after="120"/>
    </w:pPr>
    <w:rPr>
      <w:rFonts w:cs="Mangal"/>
      <w:i/>
      <w:iCs/>
    </w:rPr>
  </w:style>
  <w:style w:type="paragraph" w:styleId="Caption2">
    <w:name w:val="caption2"/>
    <w:basedOn w:val="Normal"/>
    <w:qFormat/>
    <w:pPr>
      <w:suppressLineNumbers/>
      <w:spacing w:before="120" w:after="120"/>
    </w:pPr>
    <w:rPr>
      <w:rFonts w:cs="Arial"/>
      <w:i/>
      <w:iCs/>
    </w:rPr>
  </w:style>
  <w:style w:type="numbering" w:styleId="Ningunalista" w:customStyle="1">
    <w:name w:val="Ninguna lista"/>
    <w:uiPriority w:val="99"/>
    <w:semiHidden/>
    <w:unhideWhenUsed/>
    <w:qFormat/>
  </w:style>
  <w:style w:type="numbering" w:styleId="WW8Num71" w:customStyle="1">
    <w:name w:val="WW8Num71"/>
    <w:qFormat/>
  </w:style>
  <w:style w:type="numbering" w:styleId="NoList">
    <w:name w:val="No List"/>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495</TotalTime>
  <Application>LibreOffice/7.6.7.2$Windows_X86_64 LibreOffice_project/dd47e4b30cb7dab30588d6c79c651f218165e3c5</Application>
  <AppVersion>15.0000</AppVersion>
  <Pages>3</Pages>
  <Words>903</Words>
  <Characters>4719</Characters>
  <CharactersWithSpaces>5617</CharactersWithSpaces>
  <Paragraphs>16</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2008-04-18T08:06:00Z</dcterms:created>
  <dc:creator>JESYTEL S.A.</dc:creator>
  <dc:description/>
  <dc:language>es-ES</dc:language>
  <cp:lastModifiedBy/>
  <cp:lastPrinted>2026-03-24T12:04:19Z</cp:lastPrinted>
  <dcterms:modified xsi:type="dcterms:W3CDTF">2026-04-21T11:59:19Z</dcterms:modified>
  <cp:revision>96</cp:revision>
  <dc:subject/>
  <dc:title>«tipo_expediente»</dc:title>
</cp:coreProperties>
</file>

<file path=docProps/custom.xml><?xml version="1.0" encoding="utf-8"?>
<Properties xmlns="http://schemas.openxmlformats.org/officeDocument/2006/custom-properties" xmlns:vt="http://schemas.openxmlformats.org/officeDocument/2006/docPropsVTypes"/>
</file>