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03" w:rsidRDefault="00694B03">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694B03" w:rsidRDefault="007E40F0">
      <w:pPr>
        <w:widowControl w:val="0"/>
        <w:shd w:val="clear" w:color="auto" w:fill="FFFFFF"/>
        <w:tabs>
          <w:tab w:val="left" w:pos="729"/>
        </w:tabs>
        <w:rPr>
          <w:rStyle w:val="Textoennegrita"/>
          <w:rFonts w:ascii="Arial Narrow" w:eastAsia="Arial" w:hAnsi="Arial Narrow" w:cs="Arial Narrow"/>
          <w:sz w:val="40"/>
          <w:szCs w:val="40"/>
          <w:lang w:eastAsia="es-ES_tradnl"/>
        </w:rPr>
      </w:pPr>
      <w:r>
        <w:rPr>
          <w:rFonts w:ascii="Arial Narrow" w:eastAsia="Malgun Gothic" w:hAnsi="Arial Narrow" w:cs="Helvetica"/>
          <w:b/>
          <w:bCs/>
          <w:color w:val="000000"/>
          <w:sz w:val="40"/>
          <w:szCs w:val="40"/>
          <w:lang w:eastAsia="es-ES_tradnl" w:bidi="hi-IN"/>
        </w:rPr>
        <w:t>La Comisión de Patrimonio informa favorablemente proyectos para la construcción de un total de 59 viviendas en distintos puntos del centro histórico</w:t>
      </w:r>
    </w:p>
    <w:p w:rsidR="00694B03" w:rsidRDefault="00694B03">
      <w:pPr>
        <w:pStyle w:val="Textoindependiente"/>
        <w:spacing w:line="240" w:lineRule="auto"/>
        <w:jc w:val="both"/>
        <w:rPr>
          <w:rFonts w:ascii="Arial Narrow" w:hAnsi="Arial Narrow"/>
          <w:sz w:val="36"/>
          <w:szCs w:val="36"/>
        </w:rPr>
      </w:pPr>
    </w:p>
    <w:p w:rsidR="00694B03" w:rsidRDefault="007E40F0">
      <w:pPr>
        <w:pStyle w:val="Textoindependiente"/>
        <w:spacing w:after="0" w:line="240" w:lineRule="auto"/>
        <w:jc w:val="both"/>
        <w:rPr>
          <w:rFonts w:ascii="Arial Narrow" w:hAnsi="Arial Narrow"/>
          <w:sz w:val="26"/>
          <w:szCs w:val="26"/>
        </w:rPr>
      </w:pPr>
      <w:r>
        <w:rPr>
          <w:rFonts w:ascii="Arial Narrow" w:hAnsi="Arial Narrow"/>
          <w:b/>
          <w:bCs/>
          <w:sz w:val="26"/>
          <w:szCs w:val="26"/>
        </w:rPr>
        <w:t>26</w:t>
      </w:r>
      <w:r>
        <w:rPr>
          <w:rFonts w:ascii="Arial Narrow" w:hAnsi="Arial Narrow"/>
          <w:b/>
          <w:bCs/>
          <w:sz w:val="26"/>
          <w:szCs w:val="26"/>
        </w:rPr>
        <w:t xml:space="preserve"> de abril de 2026.</w:t>
      </w:r>
      <w:r>
        <w:rPr>
          <w:rFonts w:ascii="Arial Narrow" w:hAnsi="Arial Narrow"/>
          <w:sz w:val="26"/>
          <w:szCs w:val="26"/>
        </w:rPr>
        <w:t xml:space="preserve"> </w:t>
      </w:r>
      <w:r>
        <w:rPr>
          <w:rFonts w:ascii="Arial Narrow" w:hAnsi="Arial Narrow" w:cs="Century Gothic"/>
          <w:color w:val="000000"/>
          <w:sz w:val="26"/>
          <w:szCs w:val="26"/>
        </w:rPr>
        <w:t>La Comisión Local de Patrimonio Histórico, celebrada esta semana y presidida por la</w:t>
      </w:r>
      <w:r>
        <w:rPr>
          <w:rFonts w:ascii="Arial Narrow" w:hAnsi="Arial Narrow" w:cs="Century Gothic"/>
          <w:color w:val="000000"/>
          <w:sz w:val="26"/>
          <w:szCs w:val="26"/>
        </w:rPr>
        <w:t xml:space="preserve"> delegada de Vivienda y Urbanismo, Belén de la Cuadra, ha dictaminado favorablemente alrededor de una veintena de propuestas de intervención en inmuebles del centro histórico a instancias de personas o empresas interesadas en llevar a cabo trabajos de reha</w:t>
      </w:r>
      <w:r>
        <w:rPr>
          <w:rFonts w:ascii="Arial Narrow" w:hAnsi="Arial Narrow" w:cs="Century Gothic"/>
          <w:color w:val="000000"/>
          <w:sz w:val="26"/>
          <w:szCs w:val="26"/>
        </w:rPr>
        <w:t>bilitación, reformas u obra nueva en locales, viviendas o negocios.</w:t>
      </w:r>
    </w:p>
    <w:p w:rsidR="00694B03" w:rsidRDefault="00694B03">
      <w:pPr>
        <w:pStyle w:val="Textoindependiente"/>
        <w:spacing w:after="0" w:line="240" w:lineRule="auto"/>
        <w:jc w:val="both"/>
      </w:pPr>
    </w:p>
    <w:p w:rsidR="00694B03" w:rsidRDefault="007E40F0">
      <w:pPr>
        <w:pStyle w:val="Textoindependiente"/>
        <w:spacing w:after="0" w:line="240" w:lineRule="auto"/>
        <w:jc w:val="both"/>
      </w:pPr>
      <w:r>
        <w:rPr>
          <w:rFonts w:ascii="Arial Narrow" w:hAnsi="Arial Narrow"/>
          <w:sz w:val="26"/>
          <w:szCs w:val="26"/>
        </w:rPr>
        <w:t>Del orden del día destacan proyectos con fines residenciales, como es el caso de la información previa que se solicita en relación al diseño de un edificio de 30 viviendas que se pretende</w:t>
      </w:r>
      <w:r>
        <w:rPr>
          <w:rFonts w:ascii="Arial Narrow" w:hAnsi="Arial Narrow"/>
          <w:sz w:val="26"/>
          <w:szCs w:val="26"/>
        </w:rPr>
        <w:t xml:space="preserve"> construir en un solar de la calle Muro. En relación a esta intervención, la Comisión de Patrimonio ha emitido un informe favorable, señalando su conformidad con las características y especificaciones que se proponen para la fachada de esta edificación. </w:t>
      </w:r>
    </w:p>
    <w:p w:rsidR="00694B03" w:rsidRDefault="00694B03">
      <w:pPr>
        <w:pStyle w:val="Textoindependiente"/>
        <w:spacing w:after="0" w:line="240" w:lineRule="auto"/>
        <w:jc w:val="both"/>
      </w:pPr>
    </w:p>
    <w:p w:rsidR="00694B03" w:rsidRDefault="007E40F0">
      <w:pPr>
        <w:pStyle w:val="Textoindependiente"/>
        <w:spacing w:after="0" w:line="240" w:lineRule="auto"/>
        <w:jc w:val="both"/>
      </w:pPr>
      <w:r>
        <w:rPr>
          <w:rFonts w:ascii="Arial Narrow" w:hAnsi="Arial Narrow"/>
          <w:sz w:val="26"/>
          <w:szCs w:val="26"/>
        </w:rPr>
        <w:t>Asimismo, se ha dado luz verde a la rehabilitación integral y ampliación en altura de una finca catalogada de la</w:t>
      </w:r>
      <w:r>
        <w:rPr>
          <w:rFonts w:ascii="Arial Narrow" w:hAnsi="Arial Narrow"/>
          <w:sz w:val="26"/>
          <w:szCs w:val="26"/>
        </w:rPr>
        <w:t xml:space="preserve"> calle Doctor Mercado que lleva años de abandono</w:t>
      </w:r>
      <w:r>
        <w:rPr>
          <w:rFonts w:ascii="Arial Narrow" w:hAnsi="Arial Narrow"/>
          <w:sz w:val="26"/>
          <w:szCs w:val="26"/>
        </w:rPr>
        <w:t xml:space="preserve"> y que será destinada a un conjunto residencial de 12 viviendas.</w:t>
      </w:r>
    </w:p>
    <w:p w:rsidR="00694B03" w:rsidRDefault="00694B03">
      <w:pPr>
        <w:pStyle w:val="Textoindependiente"/>
        <w:spacing w:after="0" w:line="240" w:lineRule="auto"/>
        <w:jc w:val="both"/>
      </w:pPr>
    </w:p>
    <w:p w:rsidR="00694B03" w:rsidRDefault="007E40F0">
      <w:pPr>
        <w:pStyle w:val="Textoindependiente"/>
        <w:spacing w:after="0" w:line="240" w:lineRule="auto"/>
        <w:jc w:val="both"/>
      </w:pPr>
      <w:r>
        <w:rPr>
          <w:rFonts w:ascii="Arial Narrow" w:hAnsi="Arial Narrow"/>
          <w:color w:val="242424"/>
          <w:sz w:val="26"/>
          <w:szCs w:val="26"/>
        </w:rPr>
        <w:t>También en materia residencia</w:t>
      </w:r>
      <w:r>
        <w:rPr>
          <w:rFonts w:ascii="Arial Narrow" w:hAnsi="Arial Narrow"/>
          <w:color w:val="242424"/>
          <w:sz w:val="26"/>
          <w:szCs w:val="26"/>
        </w:rPr>
        <w:t>l, se han autorizado las obras de adaptación y división interior de un local sin uso de la calle Larga  (en el Centro Comercial Los Cisnes) para destinarlo a 13 estudios con aseo, cocina-comedor y dormitorio en régimen de alquiler.  El local se encuentra t</w:t>
      </w:r>
      <w:r>
        <w:rPr>
          <w:rFonts w:ascii="Arial Narrow" w:hAnsi="Arial Narrow"/>
          <w:color w:val="242424"/>
          <w:sz w:val="26"/>
          <w:szCs w:val="26"/>
        </w:rPr>
        <w:t>otalmente diáfano con un alto grado de suciedad y deterioro debido al abandono y a la falta de mantenimiento.</w:t>
      </w:r>
    </w:p>
    <w:p w:rsidR="00694B03" w:rsidRDefault="00694B03">
      <w:pPr>
        <w:pStyle w:val="Textoindependiente"/>
        <w:spacing w:after="0" w:line="240" w:lineRule="auto"/>
        <w:jc w:val="both"/>
        <w:rPr>
          <w:color w:val="242424"/>
        </w:rPr>
      </w:pPr>
    </w:p>
    <w:p w:rsidR="00694B03" w:rsidRDefault="007E40F0">
      <w:pPr>
        <w:pStyle w:val="Textoindependiente"/>
        <w:spacing w:after="0" w:line="240" w:lineRule="auto"/>
        <w:jc w:val="both"/>
      </w:pPr>
      <w:r>
        <w:rPr>
          <w:rFonts w:ascii="Arial Narrow" w:hAnsi="Arial Narrow"/>
          <w:sz w:val="26"/>
          <w:szCs w:val="26"/>
        </w:rPr>
        <w:t>También se han dictaminado favorablemente las obras de adaptación de un local de 195 metros cuadrados situado en la planta baja de un edificio de</w:t>
      </w:r>
      <w:r>
        <w:rPr>
          <w:rFonts w:ascii="Arial Narrow" w:hAnsi="Arial Narrow"/>
          <w:sz w:val="26"/>
          <w:szCs w:val="26"/>
        </w:rPr>
        <w:t xml:space="preserve"> la Calle Merced para habilitar 3 viviendas, una de un dormitorio y dos de dos. El local tiene una superficie construida de 195 metros cuadrados. Y cerrando este capítulo, cabe reseñar la propuesta de rehabilitación integral de un conjunto bodeguero de la </w:t>
      </w:r>
      <w:r>
        <w:rPr>
          <w:rFonts w:ascii="Arial Narrow" w:hAnsi="Arial Narrow"/>
          <w:sz w:val="26"/>
          <w:szCs w:val="26"/>
        </w:rPr>
        <w:t xml:space="preserve">calle Molineros para destinarlo a una unifamiliar. </w:t>
      </w:r>
    </w:p>
    <w:p w:rsidR="00694B03" w:rsidRDefault="00694B03">
      <w:pPr>
        <w:pStyle w:val="Textoindependiente"/>
        <w:spacing w:after="0" w:line="240" w:lineRule="auto"/>
        <w:jc w:val="both"/>
      </w:pPr>
    </w:p>
    <w:p w:rsidR="00694B03" w:rsidRDefault="007E40F0">
      <w:pPr>
        <w:pStyle w:val="Textoindependiente"/>
        <w:spacing w:after="0" w:line="240" w:lineRule="auto"/>
        <w:jc w:val="both"/>
      </w:pPr>
      <w:r>
        <w:rPr>
          <w:rFonts w:ascii="Arial Narrow" w:hAnsi="Arial Narrow"/>
          <w:sz w:val="26"/>
          <w:szCs w:val="26"/>
        </w:rPr>
        <w:t>Por otro lado, en la sesión de la Comisión de Patrimonio se ha dado el visto bueno a las obras en el interior de un local catalogado de la calle Pescadería Vieja, de dos plantas de altura y de 158 metros</w:t>
      </w:r>
      <w:r>
        <w:rPr>
          <w:rFonts w:ascii="Arial Narrow" w:hAnsi="Arial Narrow"/>
          <w:sz w:val="26"/>
          <w:szCs w:val="26"/>
        </w:rPr>
        <w:t xml:space="preserve"> cuadrados de superficie, que se destinará a restaurante de cocina italiana. La propuesta conlleva las obras de adaptación del local actualmente destinado a actividad de hostelería sin música. </w:t>
      </w:r>
    </w:p>
    <w:p w:rsidR="00694B03" w:rsidRDefault="00694B03">
      <w:pPr>
        <w:pStyle w:val="Textoindependiente"/>
        <w:spacing w:after="0" w:line="240" w:lineRule="auto"/>
        <w:jc w:val="both"/>
      </w:pPr>
    </w:p>
    <w:p w:rsidR="00694B03" w:rsidRDefault="007E40F0">
      <w:pPr>
        <w:pStyle w:val="Textoindependiente"/>
        <w:spacing w:after="0" w:line="240" w:lineRule="auto"/>
        <w:jc w:val="both"/>
      </w:pPr>
      <w:r>
        <w:rPr>
          <w:rFonts w:ascii="Arial Narrow" w:hAnsi="Arial Narrow"/>
          <w:sz w:val="26"/>
          <w:szCs w:val="26"/>
        </w:rPr>
        <w:lastRenderedPageBreak/>
        <w:t>Del orden del día cabe destacar también, entre otros asuntos,</w:t>
      </w:r>
      <w:r>
        <w:rPr>
          <w:rFonts w:ascii="Arial Narrow" w:hAnsi="Arial Narrow"/>
          <w:sz w:val="26"/>
          <w:szCs w:val="26"/>
        </w:rPr>
        <w:t xml:space="preserve"> el arreglo y saneado de la fachada de un inmueble catalogado de la calle Merced; y el adecentamiento de la fachada principal, patio interior y paramento trasero de un edificio de la calle Juan de Torres, que incluye igualmente la limpieza y reparación de </w:t>
      </w:r>
      <w:r>
        <w:rPr>
          <w:rFonts w:ascii="Arial Narrow" w:hAnsi="Arial Narrow"/>
          <w:sz w:val="26"/>
          <w:szCs w:val="26"/>
        </w:rPr>
        <w:t xml:space="preserve">elementos dañados y de grietas, así como repasos de pintura. </w:t>
      </w:r>
    </w:p>
    <w:p w:rsidR="00694B03" w:rsidRDefault="00694B03">
      <w:pPr>
        <w:pStyle w:val="Textoindependiente"/>
        <w:spacing w:after="0" w:line="240" w:lineRule="auto"/>
        <w:jc w:val="both"/>
      </w:pPr>
    </w:p>
    <w:p w:rsidR="00694B03" w:rsidRPr="007E40F0" w:rsidRDefault="007E40F0">
      <w:pPr>
        <w:pStyle w:val="Textoindependiente"/>
        <w:spacing w:after="0" w:line="240" w:lineRule="auto"/>
        <w:jc w:val="both"/>
        <w:rPr>
          <w:iCs/>
        </w:rPr>
      </w:pPr>
      <w:r w:rsidRPr="007E40F0">
        <w:rPr>
          <w:rFonts w:ascii="Arial Narrow" w:hAnsi="Arial Narrow"/>
          <w:iCs/>
          <w:sz w:val="26"/>
          <w:szCs w:val="26"/>
        </w:rPr>
        <w:t>(Se adjunta fotografía)</w:t>
      </w:r>
    </w:p>
    <w:p w:rsidR="00694B03" w:rsidRDefault="00694B03">
      <w:pPr>
        <w:pStyle w:val="Textoindependiente"/>
        <w:spacing w:after="0" w:line="240" w:lineRule="auto"/>
        <w:jc w:val="both"/>
        <w:rPr>
          <w:rFonts w:ascii="Arial Narrow" w:hAnsi="Arial Narrow"/>
          <w:sz w:val="26"/>
          <w:szCs w:val="26"/>
        </w:rPr>
      </w:pPr>
    </w:p>
    <w:p w:rsidR="00694B03" w:rsidRDefault="00694B03">
      <w:pPr>
        <w:tabs>
          <w:tab w:val="left" w:pos="0"/>
          <w:tab w:val="left" w:pos="2835"/>
          <w:tab w:val="right" w:pos="6120"/>
          <w:tab w:val="center" w:pos="8100"/>
          <w:tab w:val="right" w:pos="10080"/>
        </w:tabs>
        <w:jc w:val="both"/>
        <w:rPr>
          <w:rFonts w:ascii="Arial Narrow" w:hAnsi="Arial Narrow" w:cs="Century Gothic"/>
          <w:sz w:val="26"/>
          <w:szCs w:val="26"/>
        </w:rPr>
      </w:pPr>
      <w:bookmarkStart w:id="0" w:name="_GoBack"/>
      <w:bookmarkEnd w:id="0"/>
    </w:p>
    <w:p w:rsidR="00694B03" w:rsidRDefault="00694B03">
      <w:pPr>
        <w:tabs>
          <w:tab w:val="left" w:pos="0"/>
          <w:tab w:val="left" w:pos="2835"/>
          <w:tab w:val="right" w:pos="6120"/>
          <w:tab w:val="center" w:pos="8100"/>
          <w:tab w:val="right" w:pos="10080"/>
        </w:tabs>
        <w:jc w:val="both"/>
        <w:rPr>
          <w:rFonts w:ascii="Arial Narrow" w:hAnsi="Arial Narrow" w:cs="Century Gothic"/>
          <w:sz w:val="26"/>
          <w:szCs w:val="26"/>
        </w:rPr>
      </w:pPr>
    </w:p>
    <w:p w:rsidR="00694B03" w:rsidRDefault="00694B03">
      <w:pPr>
        <w:tabs>
          <w:tab w:val="left" w:pos="0"/>
          <w:tab w:val="left" w:pos="2835"/>
          <w:tab w:val="right" w:pos="6120"/>
          <w:tab w:val="center" w:pos="8100"/>
          <w:tab w:val="right" w:pos="10080"/>
        </w:tabs>
        <w:jc w:val="both"/>
        <w:rPr>
          <w:rFonts w:ascii="Arial Narrow" w:hAnsi="Arial Narrow" w:cs="Century Gothic"/>
          <w:b/>
          <w:bCs/>
          <w:sz w:val="26"/>
          <w:szCs w:val="26"/>
        </w:rPr>
      </w:pPr>
    </w:p>
    <w:p w:rsidR="00694B03" w:rsidRDefault="00694B03">
      <w:pPr>
        <w:pStyle w:val="Textoindependiente"/>
        <w:spacing w:before="10" w:after="0" w:line="240" w:lineRule="auto"/>
        <w:jc w:val="both"/>
        <w:rPr>
          <w:rFonts w:ascii="Arial Narrow" w:hAnsi="Arial Narrow"/>
          <w:sz w:val="26"/>
          <w:szCs w:val="26"/>
        </w:rPr>
      </w:pPr>
    </w:p>
    <w:p w:rsidR="00694B03" w:rsidRDefault="00694B03">
      <w:pPr>
        <w:pStyle w:val="Textoindependiente"/>
        <w:spacing w:before="160" w:after="0" w:line="240" w:lineRule="auto"/>
        <w:ind w:left="1673" w:right="142"/>
        <w:jc w:val="both"/>
        <w:rPr>
          <w:rFonts w:ascii="Arial Narrow" w:hAnsi="Arial Narrow"/>
          <w:color w:val="000000"/>
          <w:spacing w:val="-4"/>
          <w:sz w:val="26"/>
          <w:szCs w:val="26"/>
        </w:rPr>
      </w:pPr>
    </w:p>
    <w:p w:rsidR="00694B03" w:rsidRDefault="00694B03">
      <w:pPr>
        <w:pStyle w:val="Textoindependiente"/>
        <w:spacing w:before="160" w:after="0" w:line="240" w:lineRule="auto"/>
        <w:ind w:left="1673" w:right="142"/>
        <w:jc w:val="both"/>
        <w:rPr>
          <w:rFonts w:ascii="Arial Narrow" w:eastAsia="Malgun Gothic" w:hAnsi="Arial Narrow" w:cs="Source Sans Pro"/>
          <w:sz w:val="26"/>
          <w:szCs w:val="26"/>
          <w:highlight w:val="yellow"/>
        </w:rPr>
      </w:pPr>
    </w:p>
    <w:sectPr w:rsidR="00694B0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E40F0">
      <w:r>
        <w:separator/>
      </w:r>
    </w:p>
  </w:endnote>
  <w:endnote w:type="continuationSeparator" w:id="0">
    <w:p w:rsidR="00000000" w:rsidRDefault="007E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ource Sans Pr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E40F0">
      <w:r>
        <w:separator/>
      </w:r>
    </w:p>
  </w:footnote>
  <w:footnote w:type="continuationSeparator" w:id="0">
    <w:p w:rsidR="00000000" w:rsidRDefault="007E4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03" w:rsidRDefault="00694B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03" w:rsidRDefault="007E40F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694B03" w:rsidRDefault="00694B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03" w:rsidRDefault="007E40F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694B03" w:rsidRDefault="00694B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694B03"/>
    <w:rsid w:val="00694B03"/>
    <w:rsid w:val="007E40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5C0DC-6397-4C17-A456-BEC9FC2A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Pages>
  <Words>447</Words>
  <Characters>2461</Characters>
  <Application>Microsoft Office Word</Application>
  <DocSecurity>0</DocSecurity>
  <Lines>20</Lines>
  <Paragraphs>5</Paragraphs>
  <ScaleCrop>false</ScaleCrop>
  <Company>Aytojerez</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dc:title>
  <dc:subject/>
  <dc:creator>JESYTEL S.A.</dc:creator>
  <dc:description/>
  <cp:lastModifiedBy>Ana Isabel Maestro de Pablos</cp:lastModifiedBy>
  <cp:revision>85</cp:revision>
  <cp:lastPrinted>2026-03-24T12:04:00Z</cp:lastPrinted>
  <dcterms:created xsi:type="dcterms:W3CDTF">2008-04-18T08:06:00Z</dcterms:created>
  <dcterms:modified xsi:type="dcterms:W3CDTF">2026-04-24T09:56:00Z</dcterms:modified>
  <dc:language>es-ES</dc:language>
</cp:coreProperties>
</file>