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C5" w:rsidRPr="00DA47C5" w:rsidRDefault="00DA47C5" w:rsidP="00DA47C5">
      <w:pPr>
        <w:pStyle w:val="Puesto"/>
        <w:spacing w:line="259" w:lineRule="auto"/>
        <w:rPr>
          <w:rFonts w:ascii="Arial Narrow" w:hAnsi="Arial Narrow"/>
          <w:b/>
          <w:sz w:val="40"/>
          <w:szCs w:val="26"/>
        </w:rPr>
      </w:pPr>
      <w:r w:rsidRPr="00DA47C5">
        <w:rPr>
          <w:rFonts w:ascii="Arial Narrow" w:hAnsi="Arial Narrow"/>
          <w:b/>
          <w:sz w:val="40"/>
          <w:szCs w:val="26"/>
        </w:rPr>
        <w:t>El Centro de Congresos y el Palacio del Tiempo obtienen la prestigiosa Certificación 'S' de Sostenibilidad Turística</w:t>
      </w:r>
    </w:p>
    <w:p w:rsidR="00DA47C5" w:rsidRDefault="00DA47C5" w:rsidP="00DA47C5">
      <w:pPr>
        <w:pStyle w:val="NormalWeb"/>
        <w:jc w:val="both"/>
        <w:rPr>
          <w:rFonts w:ascii="Arial Narrow" w:hAnsi="Arial Narrow" w:cs="Arial"/>
          <w:b/>
          <w:color w:val="000000" w:themeColor="text1"/>
          <w:sz w:val="26"/>
          <w:szCs w:val="26"/>
        </w:rPr>
      </w:pPr>
    </w:p>
    <w:p w:rsidR="00DA47C5" w:rsidRDefault="00D84930" w:rsidP="00DA47C5">
      <w:pPr>
        <w:pStyle w:val="NormalWeb"/>
        <w:jc w:val="both"/>
        <w:rPr>
          <w:rFonts w:ascii="Arial Narrow" w:hAnsi="Arial Narrow" w:cs="Arial"/>
          <w:sz w:val="26"/>
          <w:szCs w:val="26"/>
          <w:lang w:eastAsia="es-ES"/>
        </w:rPr>
      </w:pPr>
      <w:r>
        <w:rPr>
          <w:rFonts w:ascii="Arial Narrow" w:hAnsi="Arial Narrow" w:cs="Arial"/>
          <w:b/>
          <w:color w:val="000000" w:themeColor="text1"/>
          <w:sz w:val="26"/>
          <w:szCs w:val="26"/>
        </w:rPr>
        <w:t>28</w:t>
      </w:r>
      <w:bookmarkStart w:id="0" w:name="_GoBack"/>
      <w:bookmarkEnd w:id="0"/>
      <w:r w:rsidR="00DA47C5" w:rsidRPr="00DA47C5">
        <w:rPr>
          <w:rFonts w:ascii="Arial Narrow" w:hAnsi="Arial Narrow" w:cs="Arial"/>
          <w:b/>
          <w:color w:val="000000" w:themeColor="text1"/>
          <w:sz w:val="26"/>
          <w:szCs w:val="26"/>
        </w:rPr>
        <w:t xml:space="preserve"> de abril</w:t>
      </w:r>
      <w:r w:rsidR="00DA47C5" w:rsidRPr="00DA47C5">
        <w:rPr>
          <w:rFonts w:ascii="Arial Narrow" w:hAnsi="Arial Narrow" w:cs="Arial"/>
          <w:b/>
          <w:color w:val="000000" w:themeColor="text1"/>
          <w:spacing w:val="-1"/>
          <w:sz w:val="26"/>
          <w:szCs w:val="26"/>
        </w:rPr>
        <w:t xml:space="preserve"> </w:t>
      </w:r>
      <w:r w:rsidR="00DA47C5" w:rsidRPr="00DA47C5">
        <w:rPr>
          <w:rFonts w:ascii="Arial Narrow" w:hAnsi="Arial Narrow" w:cs="Arial"/>
          <w:b/>
          <w:color w:val="000000" w:themeColor="text1"/>
          <w:sz w:val="26"/>
          <w:szCs w:val="26"/>
        </w:rPr>
        <w:t>de</w:t>
      </w:r>
      <w:r w:rsidR="00DA47C5" w:rsidRPr="00DA47C5">
        <w:rPr>
          <w:rFonts w:ascii="Arial Narrow" w:hAnsi="Arial Narrow" w:cs="Arial"/>
          <w:b/>
          <w:color w:val="000000" w:themeColor="text1"/>
          <w:spacing w:val="-2"/>
          <w:sz w:val="26"/>
          <w:szCs w:val="26"/>
        </w:rPr>
        <w:t xml:space="preserve"> </w:t>
      </w:r>
      <w:r w:rsidR="00DA47C5" w:rsidRPr="00DA47C5">
        <w:rPr>
          <w:rFonts w:ascii="Arial Narrow" w:hAnsi="Arial Narrow" w:cs="Arial"/>
          <w:b/>
          <w:color w:val="000000" w:themeColor="text1"/>
          <w:sz w:val="26"/>
          <w:szCs w:val="26"/>
        </w:rPr>
        <w:t>2026</w:t>
      </w:r>
      <w:r w:rsidR="00DA47C5" w:rsidRPr="00DA47C5">
        <w:rPr>
          <w:rFonts w:ascii="Arial Narrow" w:hAnsi="Arial Narrow" w:cs="Arial"/>
          <w:b/>
          <w:spacing w:val="-1"/>
          <w:sz w:val="26"/>
          <w:szCs w:val="26"/>
        </w:rPr>
        <w:t>.</w:t>
      </w:r>
      <w:r w:rsidR="00DA47C5" w:rsidRPr="00DA47C5">
        <w:rPr>
          <w:rFonts w:ascii="Arial Narrow" w:hAnsi="Arial Narrow"/>
          <w:b/>
          <w:bCs/>
          <w:sz w:val="26"/>
          <w:szCs w:val="26"/>
        </w:rPr>
        <w:t xml:space="preserve"> </w:t>
      </w:r>
      <w:r w:rsidR="00DA47C5" w:rsidRPr="00DA47C5">
        <w:rPr>
          <w:rFonts w:ascii="Arial Narrow" w:hAnsi="Arial Narrow" w:cs="Arial"/>
          <w:sz w:val="26"/>
          <w:szCs w:val="26"/>
        </w:rPr>
        <w:t xml:space="preserve">La Fundación Andrés de Ribera ha culminado con éxito el proceso por el cual el Centro de Congresos y el Palacio del Tiempo, integrados en el complejo cultural Museos de la Atalaya, han obtenido la </w:t>
      </w:r>
      <w:r w:rsidR="00DA47C5" w:rsidRPr="00DA47C5">
        <w:rPr>
          <w:rFonts w:ascii="Arial Narrow" w:hAnsi="Arial Narrow" w:cs="Arial"/>
          <w:bCs/>
          <w:sz w:val="26"/>
          <w:szCs w:val="26"/>
        </w:rPr>
        <w:t>Certificación ‘S’ de Sostenibilidad Turística</w:t>
      </w:r>
      <w:r w:rsidR="00DA47C5" w:rsidRPr="00DA47C5">
        <w:rPr>
          <w:rFonts w:ascii="Arial Narrow" w:hAnsi="Arial Narrow" w:cs="Arial"/>
          <w:sz w:val="26"/>
          <w:szCs w:val="26"/>
        </w:rPr>
        <w:t xml:space="preserve">, otorgada por el Instituto para la Calidad Turística Española (ICTE). </w:t>
      </w:r>
      <w:r w:rsidR="00DA47C5" w:rsidRPr="00DA47C5">
        <w:rPr>
          <w:rFonts w:ascii="Arial Narrow" w:hAnsi="Arial Narrow" w:cs="Arial"/>
          <w:sz w:val="26"/>
          <w:szCs w:val="26"/>
          <w:lang w:eastAsia="es-ES"/>
        </w:rPr>
        <w:t xml:space="preserve">Este reconocimiento acredita el cumplimiento riguroso de la </w:t>
      </w:r>
      <w:r w:rsidR="00DA47C5" w:rsidRPr="00DA47C5">
        <w:rPr>
          <w:rFonts w:ascii="Arial Narrow" w:hAnsi="Arial Narrow" w:cs="Arial"/>
          <w:bCs/>
          <w:sz w:val="26"/>
          <w:szCs w:val="26"/>
          <w:lang w:eastAsia="es-ES"/>
        </w:rPr>
        <w:t>especificación técnica UNE 0083:2024</w:t>
      </w:r>
      <w:r w:rsidR="00DA47C5" w:rsidRPr="00DA47C5">
        <w:rPr>
          <w:rFonts w:ascii="Arial Narrow" w:hAnsi="Arial Narrow" w:cs="Arial"/>
          <w:sz w:val="26"/>
          <w:szCs w:val="26"/>
          <w:lang w:eastAsia="es-ES"/>
        </w:rPr>
        <w:t>, que evalúa la contribución real de las organizaciones turísticas a los Objetivos de Desarrollo Sostenible definidos en el marco de la Agenda 2030.</w:t>
      </w:r>
    </w:p>
    <w:p w:rsidR="00DA47C5" w:rsidRDefault="00DA47C5" w:rsidP="00DA47C5">
      <w:pPr>
        <w:pStyle w:val="NormalWeb"/>
        <w:jc w:val="both"/>
        <w:rPr>
          <w:rFonts w:ascii="Arial Narrow" w:hAnsi="Arial Narrow" w:cs="Arial"/>
          <w:sz w:val="26"/>
          <w:szCs w:val="26"/>
          <w:lang w:eastAsia="es-ES"/>
        </w:rPr>
      </w:pPr>
    </w:p>
    <w:p w:rsidR="00DA47C5" w:rsidRPr="00DA47C5" w:rsidRDefault="00DA47C5" w:rsidP="00DA47C5">
      <w:pPr>
        <w:pStyle w:val="NormalWeb"/>
        <w:jc w:val="both"/>
        <w:rPr>
          <w:rFonts w:ascii="Arial Narrow" w:hAnsi="Arial Narrow" w:cs="Arial"/>
          <w:sz w:val="26"/>
          <w:szCs w:val="26"/>
        </w:rPr>
      </w:pPr>
      <w:r w:rsidRPr="00DA47C5">
        <w:rPr>
          <w:rFonts w:ascii="Arial Narrow" w:hAnsi="Arial Narrow" w:cs="Arial"/>
          <w:sz w:val="26"/>
          <w:szCs w:val="26"/>
          <w:lang w:eastAsia="es-ES"/>
        </w:rPr>
        <w:t>La certificación, sometida a revisión anual, posiciona al Centro de Congresos como un referente en el subsector MICE (reuniones, incentivos, congresos y exposiciones) y al Palacio del Tiempo como un espacio destacado dentro del turismo cultural sostenible.</w:t>
      </w:r>
      <w:r>
        <w:rPr>
          <w:rFonts w:ascii="Arial Narrow" w:hAnsi="Arial Narrow" w:cs="Arial"/>
          <w:sz w:val="26"/>
          <w:szCs w:val="26"/>
          <w:lang w:eastAsia="es-ES"/>
        </w:rPr>
        <w:t xml:space="preserve"> </w:t>
      </w:r>
      <w:r w:rsidRPr="00DA47C5">
        <w:rPr>
          <w:rFonts w:ascii="Arial Narrow" w:hAnsi="Arial Narrow" w:cs="Arial"/>
          <w:sz w:val="26"/>
          <w:szCs w:val="26"/>
          <w:lang w:eastAsia="es-ES"/>
        </w:rPr>
        <w:t>El alcance de esta distinción reconoce de forma específica la contribución de la Fundación a varios ODS clave:</w:t>
      </w:r>
    </w:p>
    <w:p w:rsidR="00DA47C5" w:rsidRPr="00DA47C5" w:rsidRDefault="00DA47C5" w:rsidP="00DA47C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Arial Narrow" w:hAnsi="Arial Narrow" w:cs="Arial"/>
          <w:sz w:val="26"/>
          <w:szCs w:val="26"/>
          <w:lang w:eastAsia="es-ES"/>
        </w:rPr>
      </w:pPr>
      <w:r>
        <w:rPr>
          <w:rFonts w:ascii="Arial Narrow" w:hAnsi="Arial Narrow" w:cs="Arial"/>
          <w:b/>
          <w:bCs/>
          <w:sz w:val="26"/>
          <w:szCs w:val="26"/>
          <w:lang w:eastAsia="es-ES"/>
        </w:rPr>
        <w:t xml:space="preserve">ODS 4  </w:t>
      </w:r>
      <w:r w:rsidRPr="00DA47C5">
        <w:rPr>
          <w:rFonts w:ascii="Arial Narrow" w:hAnsi="Arial Narrow" w:cs="Arial"/>
          <w:b/>
          <w:bCs/>
          <w:sz w:val="26"/>
          <w:szCs w:val="26"/>
          <w:lang w:eastAsia="es-ES"/>
        </w:rPr>
        <w:t>Educación de calidad</w:t>
      </w:r>
      <w:r w:rsidRPr="00DA47C5">
        <w:rPr>
          <w:rFonts w:ascii="Arial Narrow" w:hAnsi="Arial Narrow" w:cs="Arial"/>
          <w:sz w:val="26"/>
          <w:szCs w:val="26"/>
          <w:lang w:eastAsia="es-ES"/>
        </w:rPr>
        <w:t xml:space="preserve">: impulso de iniciativas culturales, educativas y de divulgación que favorecen el acceso al conocimiento. </w:t>
      </w:r>
    </w:p>
    <w:p w:rsidR="00DA47C5" w:rsidRPr="00DA47C5" w:rsidRDefault="00DA47C5" w:rsidP="00DA47C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Arial Narrow" w:hAnsi="Arial Narrow" w:cs="Arial"/>
          <w:sz w:val="26"/>
          <w:szCs w:val="26"/>
          <w:lang w:eastAsia="es-ES"/>
        </w:rPr>
      </w:pPr>
      <w:r>
        <w:rPr>
          <w:rFonts w:ascii="Arial Narrow" w:hAnsi="Arial Narrow" w:cs="Arial"/>
          <w:b/>
          <w:bCs/>
          <w:sz w:val="26"/>
          <w:szCs w:val="26"/>
          <w:lang w:eastAsia="es-ES"/>
        </w:rPr>
        <w:t xml:space="preserve">ODS 5  </w:t>
      </w:r>
      <w:r w:rsidRPr="00DA47C5">
        <w:rPr>
          <w:rFonts w:ascii="Arial Narrow" w:hAnsi="Arial Narrow" w:cs="Arial"/>
          <w:b/>
          <w:bCs/>
          <w:sz w:val="26"/>
          <w:szCs w:val="26"/>
          <w:lang w:eastAsia="es-ES"/>
        </w:rPr>
        <w:t>Igualdad de género</w:t>
      </w:r>
      <w:r w:rsidRPr="00DA47C5">
        <w:rPr>
          <w:rFonts w:ascii="Arial Narrow" w:hAnsi="Arial Narrow" w:cs="Arial"/>
          <w:sz w:val="26"/>
          <w:szCs w:val="26"/>
          <w:lang w:eastAsia="es-ES"/>
        </w:rPr>
        <w:t xml:space="preserve">: desarrollo de políticas inclusivas y promoción de la equidad tanto en la gestión interna como en la experiencia del visitante. </w:t>
      </w:r>
    </w:p>
    <w:p w:rsidR="00DA47C5" w:rsidRPr="00DA47C5" w:rsidRDefault="00DA47C5" w:rsidP="00DA47C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Arial Narrow" w:hAnsi="Arial Narrow" w:cs="Arial"/>
          <w:sz w:val="26"/>
          <w:szCs w:val="26"/>
          <w:lang w:eastAsia="es-ES"/>
        </w:rPr>
      </w:pPr>
      <w:r>
        <w:rPr>
          <w:rFonts w:ascii="Arial Narrow" w:hAnsi="Arial Narrow" w:cs="Arial"/>
          <w:b/>
          <w:bCs/>
          <w:sz w:val="26"/>
          <w:szCs w:val="26"/>
          <w:lang w:eastAsia="es-ES"/>
        </w:rPr>
        <w:t xml:space="preserve">ODS 9  </w:t>
      </w:r>
      <w:r w:rsidRPr="00DA47C5">
        <w:rPr>
          <w:rFonts w:ascii="Arial Narrow" w:hAnsi="Arial Narrow" w:cs="Arial"/>
          <w:b/>
          <w:bCs/>
          <w:sz w:val="26"/>
          <w:szCs w:val="26"/>
          <w:lang w:eastAsia="es-ES"/>
        </w:rPr>
        <w:t>Industria, innovación e infraestructura</w:t>
      </w:r>
      <w:r w:rsidRPr="00DA47C5">
        <w:rPr>
          <w:rFonts w:ascii="Arial Narrow" w:hAnsi="Arial Narrow" w:cs="Arial"/>
          <w:sz w:val="26"/>
          <w:szCs w:val="26"/>
          <w:lang w:eastAsia="es-ES"/>
        </w:rPr>
        <w:t xml:space="preserve">: apuesta por la modernización de instalaciones, la eficiencia tecnológica y la sostenibilidad aplicada al turismo de congresos. </w:t>
      </w:r>
    </w:p>
    <w:p w:rsidR="00DA47C5" w:rsidRPr="00DA47C5" w:rsidRDefault="00DA47C5" w:rsidP="00DA47C5">
      <w:pPr>
        <w:spacing w:before="100" w:beforeAutospacing="1" w:after="100" w:afterAutospacing="1"/>
        <w:jc w:val="both"/>
        <w:rPr>
          <w:rFonts w:ascii="Arial Narrow" w:hAnsi="Arial Narrow" w:cs="Arial"/>
          <w:sz w:val="26"/>
          <w:szCs w:val="26"/>
          <w:lang w:eastAsia="es-ES"/>
        </w:rPr>
      </w:pPr>
      <w:r>
        <w:rPr>
          <w:rFonts w:ascii="Arial Narrow" w:hAnsi="Arial Narrow" w:cs="Arial"/>
          <w:sz w:val="26"/>
          <w:szCs w:val="26"/>
          <w:lang w:eastAsia="es-ES"/>
        </w:rPr>
        <w:t xml:space="preserve">La certificación </w:t>
      </w:r>
      <w:r w:rsidRPr="00DA47C5">
        <w:rPr>
          <w:rFonts w:ascii="Arial Narrow" w:hAnsi="Arial Narrow" w:cs="Arial"/>
          <w:sz w:val="26"/>
          <w:szCs w:val="26"/>
          <w:lang w:eastAsia="es-ES"/>
        </w:rPr>
        <w:t>refuerza la posición de Museos de la Atalaya como un enclave que combina valor patrimonial, innovación y compromiso con los desafíos globales.</w:t>
      </w:r>
      <w:r>
        <w:rPr>
          <w:rFonts w:ascii="Arial Narrow" w:hAnsi="Arial Narrow" w:cs="Arial"/>
          <w:sz w:val="26"/>
          <w:szCs w:val="26"/>
          <w:lang w:eastAsia="es-ES"/>
        </w:rPr>
        <w:t xml:space="preserve"> </w:t>
      </w:r>
      <w:r w:rsidRPr="00DA47C5">
        <w:rPr>
          <w:rFonts w:ascii="Arial Narrow" w:hAnsi="Arial Narrow" w:cs="Arial"/>
          <w:sz w:val="26"/>
          <w:szCs w:val="26"/>
          <w:lang w:eastAsia="es-ES"/>
        </w:rPr>
        <w:t xml:space="preserve">En paralelo a este hito, la Fundación Andrés de Ribera consolida su modelo de gobernanza responsable al someter, desde hace dos años, su </w:t>
      </w:r>
      <w:r w:rsidRPr="00DA47C5">
        <w:rPr>
          <w:rFonts w:ascii="Arial Narrow" w:hAnsi="Arial Narrow" w:cs="Arial"/>
          <w:bCs/>
          <w:sz w:val="26"/>
          <w:szCs w:val="26"/>
          <w:lang w:eastAsia="es-ES"/>
        </w:rPr>
        <w:t>Memoria de Responsabilidad Social Empresarial (RSE)</w:t>
      </w:r>
      <w:r w:rsidRPr="00DA47C5">
        <w:rPr>
          <w:rFonts w:ascii="Arial Narrow" w:hAnsi="Arial Narrow" w:cs="Arial"/>
          <w:sz w:val="26"/>
          <w:szCs w:val="26"/>
          <w:lang w:eastAsia="es-ES"/>
        </w:rPr>
        <w:t xml:space="preserve"> a la aprobación de su Patronato.</w:t>
      </w:r>
    </w:p>
    <w:p w:rsidR="00DA47C5" w:rsidRPr="00DA47C5" w:rsidRDefault="00DA47C5" w:rsidP="00DA47C5">
      <w:pPr>
        <w:spacing w:before="100" w:beforeAutospacing="1" w:after="100" w:afterAutospacing="1"/>
        <w:jc w:val="both"/>
        <w:rPr>
          <w:rFonts w:ascii="Arial Narrow" w:hAnsi="Arial Narrow" w:cs="Arial"/>
          <w:sz w:val="26"/>
          <w:szCs w:val="26"/>
          <w:lang w:eastAsia="es-ES"/>
        </w:rPr>
      </w:pPr>
      <w:r w:rsidRPr="00DA47C5">
        <w:rPr>
          <w:rFonts w:ascii="Arial Narrow" w:hAnsi="Arial Narrow" w:cs="Arial"/>
          <w:sz w:val="26"/>
          <w:szCs w:val="26"/>
          <w:lang w:eastAsia="es-ES"/>
        </w:rPr>
        <w:t xml:space="preserve">Este procedimiento garantiza la validación institucional de las acciones desarrolladas y refuerza los principios de </w:t>
      </w:r>
      <w:r w:rsidRPr="00DA47C5">
        <w:rPr>
          <w:rFonts w:ascii="Arial Narrow" w:hAnsi="Arial Narrow" w:cs="Arial"/>
          <w:bCs/>
          <w:sz w:val="26"/>
          <w:szCs w:val="26"/>
          <w:lang w:eastAsia="es-ES"/>
        </w:rPr>
        <w:t>transparencia, rendición de cuentas y mejora continua</w:t>
      </w:r>
      <w:r w:rsidRPr="00DA47C5">
        <w:rPr>
          <w:rFonts w:ascii="Arial Narrow" w:hAnsi="Arial Narrow" w:cs="Arial"/>
          <w:sz w:val="26"/>
          <w:szCs w:val="26"/>
          <w:lang w:eastAsia="es-ES"/>
        </w:rPr>
        <w:t xml:space="preserve">. Como parte de este compromiso, la Fundación publica además un </w:t>
      </w:r>
      <w:r w:rsidRPr="00DA47C5">
        <w:rPr>
          <w:rFonts w:ascii="Arial Narrow" w:hAnsi="Arial Narrow" w:cs="Arial"/>
          <w:bCs/>
          <w:sz w:val="26"/>
          <w:szCs w:val="26"/>
          <w:lang w:eastAsia="es-ES"/>
        </w:rPr>
        <w:t>resumen accesible de dicha memoria en su página web</w:t>
      </w:r>
      <w:r w:rsidRPr="00DA47C5">
        <w:rPr>
          <w:rFonts w:ascii="Arial Narrow" w:hAnsi="Arial Narrow" w:cs="Arial"/>
          <w:sz w:val="26"/>
          <w:szCs w:val="26"/>
          <w:lang w:eastAsia="es-ES"/>
        </w:rPr>
        <w:t>, facilitando el acceso a la información a ciudadanos, empresas colaboradoras y agentes públicos.</w:t>
      </w:r>
    </w:p>
    <w:p w:rsidR="00DA47C5" w:rsidRPr="00DA47C5" w:rsidRDefault="00DA47C5" w:rsidP="00DA47C5">
      <w:pPr>
        <w:spacing w:before="100" w:beforeAutospacing="1" w:after="100" w:afterAutospacing="1"/>
        <w:jc w:val="both"/>
        <w:rPr>
          <w:rFonts w:ascii="Arial Narrow" w:hAnsi="Arial Narrow" w:cs="Arial"/>
          <w:sz w:val="26"/>
          <w:szCs w:val="26"/>
          <w:lang w:eastAsia="es-ES"/>
        </w:rPr>
      </w:pPr>
      <w:r w:rsidRPr="00DA47C5">
        <w:rPr>
          <w:rFonts w:ascii="Arial Narrow" w:hAnsi="Arial Narrow" w:cs="Arial"/>
          <w:sz w:val="26"/>
          <w:szCs w:val="26"/>
          <w:lang w:eastAsia="es-ES"/>
        </w:rPr>
        <w:t xml:space="preserve">Asimismo, la entidad impulsa anualmente </w:t>
      </w:r>
      <w:r w:rsidRPr="00DA47C5">
        <w:rPr>
          <w:rFonts w:ascii="Arial Narrow" w:hAnsi="Arial Narrow" w:cs="Arial"/>
          <w:bCs/>
          <w:sz w:val="26"/>
          <w:szCs w:val="26"/>
          <w:lang w:eastAsia="es-ES"/>
        </w:rPr>
        <w:t>iniciativas y eventos de carácter social</w:t>
      </w:r>
      <w:r w:rsidRPr="00DA47C5">
        <w:rPr>
          <w:rFonts w:ascii="Arial Narrow" w:hAnsi="Arial Narrow" w:cs="Arial"/>
          <w:sz w:val="26"/>
          <w:szCs w:val="26"/>
          <w:lang w:eastAsia="es-ES"/>
        </w:rPr>
        <w:t xml:space="preserve"> en beneficio de la comunidad local y provincial sobre todo, integrando a las empresas usuarias de sus espacios en este enfoque responsable. Esta estrategia genera un valor añadido </w:t>
      </w:r>
      <w:proofErr w:type="spellStart"/>
      <w:r w:rsidRPr="00DA47C5">
        <w:rPr>
          <w:rFonts w:ascii="Arial Narrow" w:hAnsi="Arial Narrow" w:cs="Arial"/>
          <w:sz w:val="26"/>
          <w:szCs w:val="26"/>
          <w:lang w:eastAsia="es-ES"/>
        </w:rPr>
        <w:lastRenderedPageBreak/>
        <w:t>reputacional</w:t>
      </w:r>
      <w:proofErr w:type="spellEnd"/>
      <w:r w:rsidRPr="00DA47C5">
        <w:rPr>
          <w:rFonts w:ascii="Arial Narrow" w:hAnsi="Arial Narrow" w:cs="Arial"/>
          <w:sz w:val="26"/>
          <w:szCs w:val="26"/>
          <w:lang w:eastAsia="es-ES"/>
        </w:rPr>
        <w:t xml:space="preserve"> especialmente relevante para organizadores de eventos corporativos, alineando sus actividades con criterios ESG (ambientales, sociales y de gobernanza).</w:t>
      </w:r>
    </w:p>
    <w:p w:rsidR="00DA47C5" w:rsidRPr="00DA47C5" w:rsidRDefault="00DA47C5" w:rsidP="00DA47C5">
      <w:pPr>
        <w:spacing w:before="100" w:beforeAutospacing="1" w:after="100" w:afterAutospacing="1"/>
        <w:jc w:val="both"/>
        <w:rPr>
          <w:rFonts w:ascii="Arial Narrow" w:hAnsi="Arial Narrow" w:cs="Arial"/>
          <w:sz w:val="26"/>
          <w:szCs w:val="26"/>
          <w:lang w:eastAsia="es-ES"/>
        </w:rPr>
      </w:pPr>
      <w:r w:rsidRPr="00DA47C5">
        <w:rPr>
          <w:rFonts w:ascii="Arial Narrow" w:hAnsi="Arial Narrow" w:cs="Arial"/>
          <w:sz w:val="26"/>
          <w:szCs w:val="26"/>
          <w:lang w:eastAsia="es-ES"/>
        </w:rPr>
        <w:t>La obtención de la Certificación ‘S’ garantiza a promotores, empresas y visitantes que el complejo “Museos de la Atalaya”, con su Centro de Congresos y el Palacio del Tiempo representan un espacio comprometido con la sostenibilidad, la equidad social y la gest</w:t>
      </w:r>
      <w:r>
        <w:rPr>
          <w:rFonts w:ascii="Arial Narrow" w:hAnsi="Arial Narrow" w:cs="Arial"/>
          <w:sz w:val="26"/>
          <w:szCs w:val="26"/>
          <w:lang w:eastAsia="es-ES"/>
        </w:rPr>
        <w:t xml:space="preserve">ión responsable de los recursos. Con este doble avance, </w:t>
      </w:r>
      <w:r w:rsidRPr="00DA47C5">
        <w:rPr>
          <w:rFonts w:ascii="Arial Narrow" w:hAnsi="Arial Narrow" w:cs="Arial"/>
          <w:sz w:val="26"/>
          <w:szCs w:val="26"/>
          <w:lang w:eastAsia="es-ES"/>
        </w:rPr>
        <w:t>certificación externa y fortalecimiento de</w:t>
      </w:r>
      <w:r>
        <w:rPr>
          <w:rFonts w:ascii="Arial Narrow" w:hAnsi="Arial Narrow" w:cs="Arial"/>
          <w:sz w:val="26"/>
          <w:szCs w:val="26"/>
          <w:lang w:eastAsia="es-ES"/>
        </w:rPr>
        <w:t xml:space="preserve"> sus políticas internas de RSE, </w:t>
      </w:r>
      <w:r w:rsidRPr="00DA47C5">
        <w:rPr>
          <w:rFonts w:ascii="Arial Narrow" w:hAnsi="Arial Narrow" w:cs="Arial"/>
          <w:sz w:val="26"/>
          <w:szCs w:val="26"/>
          <w:lang w:eastAsia="es-ES"/>
        </w:rPr>
        <w:t>la Fundación Andrés de Ribera se posiciona como un modelo de referencia en la intersección entre cultura, turismo sostenible y responsabilidad institucional.</w:t>
      </w:r>
    </w:p>
    <w:p w:rsidR="00DA47C5" w:rsidRPr="002D23E8" w:rsidRDefault="00DA47C5" w:rsidP="00DA47C5">
      <w:pPr>
        <w:spacing w:before="275" w:line="259" w:lineRule="auto"/>
        <w:ind w:left="2" w:right="137"/>
        <w:jc w:val="both"/>
        <w:rPr>
          <w:rFonts w:ascii="Arial" w:hAnsi="Arial" w:cs="Arial"/>
        </w:rPr>
      </w:pPr>
    </w:p>
    <w:p w:rsidR="00D64361" w:rsidRPr="006C7E6C" w:rsidRDefault="00D64361" w:rsidP="00301987">
      <w:pPr>
        <w:jc w:val="both"/>
        <w:rPr>
          <w:rFonts w:ascii="Arial Narrow" w:hAnsi="Arial Narrow"/>
          <w:sz w:val="26"/>
          <w:szCs w:val="26"/>
        </w:rPr>
      </w:pPr>
    </w:p>
    <w:sectPr w:rsidR="00D64361" w:rsidRPr="006C7E6C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580" w:rsidRDefault="00876580">
      <w:r>
        <w:separator/>
      </w:r>
    </w:p>
  </w:endnote>
  <w:endnote w:type="continuationSeparator" w:id="0">
    <w:p w:rsidR="00876580" w:rsidRDefault="0087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580" w:rsidRDefault="00876580">
      <w:r>
        <w:separator/>
      </w:r>
    </w:p>
  </w:footnote>
  <w:footnote w:type="continuationSeparator" w:id="0">
    <w:p w:rsidR="00876580" w:rsidRDefault="00876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E" w:rsidRDefault="00D10D0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449E" w:rsidRDefault="00C144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80180"/>
    <w:multiLevelType w:val="multilevel"/>
    <w:tmpl w:val="7470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37BE9"/>
    <w:multiLevelType w:val="hybridMultilevel"/>
    <w:tmpl w:val="BE125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E"/>
    <w:rsid w:val="001026B9"/>
    <w:rsid w:val="00197B0A"/>
    <w:rsid w:val="002120BB"/>
    <w:rsid w:val="00267C87"/>
    <w:rsid w:val="00277AD2"/>
    <w:rsid w:val="00301987"/>
    <w:rsid w:val="0031300F"/>
    <w:rsid w:val="003811F3"/>
    <w:rsid w:val="003E5C44"/>
    <w:rsid w:val="004A520D"/>
    <w:rsid w:val="005370B6"/>
    <w:rsid w:val="00550B4A"/>
    <w:rsid w:val="00570652"/>
    <w:rsid w:val="005A04F7"/>
    <w:rsid w:val="005B566C"/>
    <w:rsid w:val="005D6F84"/>
    <w:rsid w:val="00686542"/>
    <w:rsid w:val="00693927"/>
    <w:rsid w:val="006C7E6C"/>
    <w:rsid w:val="006E1008"/>
    <w:rsid w:val="006F2BC0"/>
    <w:rsid w:val="00722635"/>
    <w:rsid w:val="00730E05"/>
    <w:rsid w:val="00733AC0"/>
    <w:rsid w:val="0082024E"/>
    <w:rsid w:val="008308D6"/>
    <w:rsid w:val="00844020"/>
    <w:rsid w:val="00876580"/>
    <w:rsid w:val="008C1213"/>
    <w:rsid w:val="009257F0"/>
    <w:rsid w:val="00A3191C"/>
    <w:rsid w:val="00B13161"/>
    <w:rsid w:val="00B90F62"/>
    <w:rsid w:val="00C1449E"/>
    <w:rsid w:val="00C42C10"/>
    <w:rsid w:val="00C62735"/>
    <w:rsid w:val="00CA2FF3"/>
    <w:rsid w:val="00D10D08"/>
    <w:rsid w:val="00D20738"/>
    <w:rsid w:val="00D337B7"/>
    <w:rsid w:val="00D64361"/>
    <w:rsid w:val="00D84930"/>
    <w:rsid w:val="00DA47C5"/>
    <w:rsid w:val="00DB4B2C"/>
    <w:rsid w:val="00DE566F"/>
    <w:rsid w:val="00E15E36"/>
    <w:rsid w:val="00E57562"/>
    <w:rsid w:val="00ED3584"/>
    <w:rsid w:val="00F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85311-5B49-4AED-AF71-E3A1DBA5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1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uiPriority w:val="20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customStyle="1" w:styleId="Ttulo3Car1">
    <w:name w:val="Título 3 Car1"/>
    <w:basedOn w:val="Fuentedeprrafopredeter"/>
    <w:link w:val="Ttulo3"/>
    <w:uiPriority w:val="9"/>
    <w:semiHidden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rsid w:val="00570652"/>
  </w:style>
  <w:style w:type="character" w:customStyle="1" w:styleId="whitespace-normal">
    <w:name w:val="whitespace-normal"/>
    <w:basedOn w:val="Fuentedeprrafopredeter"/>
    <w:rsid w:val="0031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2026-04-07T11:16:00Z</cp:lastPrinted>
  <dcterms:created xsi:type="dcterms:W3CDTF">2026-04-28T08:37:00Z</dcterms:created>
  <dcterms:modified xsi:type="dcterms:W3CDTF">2026-04-28T08:40:00Z</dcterms:modified>
  <dc:language>es-ES</dc:language>
</cp:coreProperties>
</file>