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2D8" w:rsidRDefault="00E42776">
      <w:pPr>
        <w:rPr>
          <w:rFonts w:ascii="Arial Narrow" w:hAnsi="Arial Narrow" w:cs="Calibri"/>
          <w:b/>
          <w:bCs/>
          <w:sz w:val="40"/>
          <w:szCs w:val="40"/>
        </w:rPr>
      </w:pPr>
      <w:r>
        <w:rPr>
          <w:rFonts w:ascii="Arial Narrow" w:hAnsi="Arial Narrow" w:cs="Calibri"/>
          <w:b/>
          <w:bCs/>
          <w:sz w:val="40"/>
          <w:szCs w:val="40"/>
        </w:rPr>
        <w:t>El Ayuntamiento avanza en la adjudicación de la parcela de la zona de calle Pizarro destinada a la construcción de al menos 53 viviendas protegidas</w:t>
      </w:r>
    </w:p>
    <w:p w:rsidR="00D4091F" w:rsidRDefault="00D4091F">
      <w:pPr>
        <w:rPr>
          <w:rFonts w:ascii="Arial Narrow" w:hAnsi="Arial Narrow" w:cs="Calibri"/>
          <w:b/>
          <w:bCs/>
          <w:sz w:val="40"/>
          <w:szCs w:val="40"/>
        </w:rPr>
      </w:pPr>
    </w:p>
    <w:p w:rsidR="00D4091F" w:rsidRPr="00D4091F" w:rsidRDefault="00D4091F" w:rsidP="00D4091F">
      <w:pPr>
        <w:pStyle w:val="Textoindependiente"/>
        <w:spacing w:line="240" w:lineRule="auto"/>
        <w:jc w:val="both"/>
        <w:rPr>
          <w:rFonts w:ascii="Arial Narrow" w:hAnsi="Arial Narrow"/>
          <w:sz w:val="32"/>
          <w:szCs w:val="26"/>
        </w:rPr>
      </w:pPr>
      <w:r w:rsidRPr="00D4091F">
        <w:rPr>
          <w:rFonts w:ascii="Arial Narrow" w:hAnsi="Arial Narrow"/>
          <w:sz w:val="32"/>
          <w:szCs w:val="26"/>
        </w:rPr>
        <w:t>E</w:t>
      </w:r>
      <w:r w:rsidRPr="00D4091F">
        <w:rPr>
          <w:rFonts w:ascii="Arial Narrow" w:hAnsi="Arial Narrow"/>
          <w:sz w:val="32"/>
          <w:szCs w:val="26"/>
        </w:rPr>
        <w:t>sta actuació</w:t>
      </w:r>
      <w:r w:rsidRPr="00D4091F">
        <w:rPr>
          <w:rFonts w:ascii="Arial Narrow" w:hAnsi="Arial Narrow"/>
          <w:sz w:val="32"/>
          <w:szCs w:val="26"/>
        </w:rPr>
        <w:t xml:space="preserve">n se suma a otras </w:t>
      </w:r>
      <w:r w:rsidRPr="00D4091F">
        <w:rPr>
          <w:rFonts w:ascii="Arial Narrow" w:hAnsi="Arial Narrow"/>
          <w:sz w:val="32"/>
          <w:szCs w:val="26"/>
        </w:rPr>
        <w:t xml:space="preserve">como la adjudicación de dos parcelas </w:t>
      </w:r>
      <w:r w:rsidRPr="00D4091F">
        <w:rPr>
          <w:rFonts w:ascii="Arial Narrow" w:hAnsi="Arial Narrow"/>
          <w:sz w:val="32"/>
          <w:szCs w:val="26"/>
        </w:rPr>
        <w:t xml:space="preserve">de </w:t>
      </w:r>
      <w:proofErr w:type="spellStart"/>
      <w:r w:rsidRPr="00D4091F">
        <w:rPr>
          <w:rFonts w:ascii="Arial Narrow" w:hAnsi="Arial Narrow"/>
          <w:sz w:val="32"/>
          <w:szCs w:val="26"/>
        </w:rPr>
        <w:t>Emuvijesa</w:t>
      </w:r>
      <w:proofErr w:type="spellEnd"/>
      <w:r w:rsidRPr="00D4091F">
        <w:rPr>
          <w:rFonts w:ascii="Arial Narrow" w:hAnsi="Arial Narrow"/>
          <w:sz w:val="32"/>
          <w:szCs w:val="26"/>
        </w:rPr>
        <w:t xml:space="preserve"> en la zona de </w:t>
      </w:r>
      <w:proofErr w:type="spellStart"/>
      <w:r w:rsidRPr="00D4091F">
        <w:rPr>
          <w:rFonts w:ascii="Arial Narrow" w:hAnsi="Arial Narrow"/>
          <w:sz w:val="32"/>
          <w:szCs w:val="26"/>
        </w:rPr>
        <w:t>Pozoalbero</w:t>
      </w:r>
      <w:proofErr w:type="spellEnd"/>
      <w:r w:rsidRPr="00D4091F">
        <w:rPr>
          <w:rFonts w:ascii="Arial Narrow" w:hAnsi="Arial Narrow"/>
          <w:sz w:val="32"/>
          <w:szCs w:val="26"/>
        </w:rPr>
        <w:t>, con capacidad para 192 viviendas protegidas en régimen general, y la otra ubicada en la calle Cris</w:t>
      </w:r>
      <w:r w:rsidRPr="00D4091F">
        <w:rPr>
          <w:rFonts w:ascii="Arial Narrow" w:hAnsi="Arial Narrow"/>
          <w:sz w:val="32"/>
          <w:szCs w:val="26"/>
        </w:rPr>
        <w:t>tal y destinada a vivienda libre</w:t>
      </w:r>
    </w:p>
    <w:p w:rsidR="003C22D8" w:rsidRDefault="003C22D8">
      <w:pPr>
        <w:jc w:val="both"/>
        <w:rPr>
          <w:rFonts w:ascii="Arial Narrow" w:hAnsi="Arial Narrow" w:cs="Calibri"/>
          <w:bCs/>
          <w:sz w:val="26"/>
          <w:szCs w:val="26"/>
        </w:rPr>
      </w:pPr>
    </w:p>
    <w:p w:rsidR="003C22D8" w:rsidRDefault="005F1563">
      <w:pPr>
        <w:pStyle w:val="Textoindependiente"/>
        <w:spacing w:line="240" w:lineRule="auto"/>
        <w:jc w:val="both"/>
        <w:rPr>
          <w:rFonts w:ascii="Arial Narrow" w:hAnsi="Arial Narrow"/>
          <w:sz w:val="26"/>
          <w:szCs w:val="26"/>
        </w:rPr>
      </w:pPr>
      <w:r>
        <w:rPr>
          <w:rFonts w:ascii="Arial Narrow" w:hAnsi="Arial Narrow"/>
          <w:b/>
          <w:bCs/>
          <w:sz w:val="26"/>
          <w:szCs w:val="26"/>
        </w:rPr>
        <w:t>27</w:t>
      </w:r>
      <w:r w:rsidR="00E42776">
        <w:rPr>
          <w:rFonts w:ascii="Arial Narrow" w:hAnsi="Arial Narrow"/>
          <w:b/>
          <w:bCs/>
          <w:sz w:val="26"/>
          <w:szCs w:val="26"/>
        </w:rPr>
        <w:t xml:space="preserve"> de abril de 2026. </w:t>
      </w:r>
      <w:r w:rsidR="00E42776">
        <w:rPr>
          <w:rFonts w:ascii="Arial Narrow" w:hAnsi="Arial Narrow"/>
          <w:sz w:val="26"/>
          <w:szCs w:val="26"/>
        </w:rPr>
        <w:t>La Junta de Gobierno Local ha aprobado la propuesta de adjudicación al licitador que ha presentado la mejor oferta en el procedimiento para la enajenación de la parcela municipal situada en el entorno de la calle Pizarro, con capacidad para la construcción de un mínimo de 53 viviendas protegidas. Este acuerdo constituye el trámite previo a la adjudicación definitiva de estos suelos (ubicados en el Área de Reforma Interior ARI F-16 Pizarro) y se enmarca en la política activa de suelo que está llevando a cabo el Ayuntamiento para impulsar la promoción residencial asequible.</w:t>
      </w:r>
    </w:p>
    <w:p w:rsidR="003C22D8" w:rsidRDefault="00E42776">
      <w:pPr>
        <w:pStyle w:val="Textoindependiente"/>
        <w:spacing w:line="240" w:lineRule="auto"/>
        <w:jc w:val="both"/>
        <w:rPr>
          <w:rFonts w:ascii="Arial Narrow" w:hAnsi="Arial Narrow"/>
          <w:sz w:val="26"/>
          <w:szCs w:val="26"/>
        </w:rPr>
      </w:pPr>
      <w:r>
        <w:rPr>
          <w:rFonts w:ascii="Arial Narrow" w:hAnsi="Arial Narrow"/>
          <w:sz w:val="26"/>
          <w:szCs w:val="26"/>
        </w:rPr>
        <w:t xml:space="preserve">La convocatoria incluía igualmente otras dos parcelas situadas en El Carrascal y La Milagrosa, que finalmente han quedado desiertas al no haberse presentado ofertas, lo que llevará al Ayuntamiento a analizar nuevas fórmulas para su puesta en carga nuevamente. </w:t>
      </w:r>
    </w:p>
    <w:p w:rsidR="003C22D8" w:rsidRDefault="00E42776">
      <w:pPr>
        <w:pStyle w:val="Textoindependiente"/>
        <w:spacing w:line="240" w:lineRule="auto"/>
        <w:jc w:val="both"/>
        <w:rPr>
          <w:rFonts w:ascii="Arial Narrow" w:hAnsi="Arial Narrow"/>
          <w:sz w:val="26"/>
          <w:szCs w:val="26"/>
        </w:rPr>
      </w:pPr>
      <w:r>
        <w:rPr>
          <w:rFonts w:ascii="Arial Narrow" w:hAnsi="Arial Narrow"/>
          <w:sz w:val="26"/>
          <w:szCs w:val="26"/>
        </w:rPr>
        <w:t>La empresa propuesta como adjudicataria, Realizaciones Humanas y Técnicas de Arquitectura S.L., ha presentado una oferta por importe de 1.879.528,09 euros, IVA incluido; en el acuerdo aprobado, se le ha requerido la documentación previa necesaria para formalizar la adjudicación, la cual deberá aportar en el plazo de diez días hábiles conforme a lo establecido en el pliego de cláusulas administrativas.</w:t>
      </w:r>
    </w:p>
    <w:p w:rsidR="003C22D8" w:rsidRDefault="00E42776">
      <w:pPr>
        <w:pStyle w:val="Textoindependiente"/>
        <w:spacing w:line="240" w:lineRule="auto"/>
        <w:jc w:val="both"/>
        <w:rPr>
          <w:rFonts w:ascii="Arial Narrow" w:hAnsi="Arial Narrow"/>
          <w:sz w:val="26"/>
          <w:szCs w:val="26"/>
        </w:rPr>
      </w:pPr>
      <w:r>
        <w:rPr>
          <w:rFonts w:ascii="Arial Narrow" w:hAnsi="Arial Narrow"/>
          <w:color w:val="000000"/>
          <w:sz w:val="26"/>
          <w:szCs w:val="26"/>
        </w:rPr>
        <w:t xml:space="preserve">Cabe destacar que la oferta presentada por el adjudicatario incluye, como mejora respecto del tipo mínimo de licitación, la reducción en un 4% del precio máximo legal de venta limitado a 2.610 euros por metro cuadrado útil establecido en la licitación. Esto significa, tal y como ha explicado la delegada de Vivienda y Urbanismo, Belén de la Cuadra, que el precio máximo de venta de las viviendas que se construyan, limitado por Ley y establecido en el Pliego, se verá reducido además en un 4% extra. </w:t>
      </w:r>
    </w:p>
    <w:p w:rsidR="003C22D8" w:rsidRDefault="00E42776">
      <w:pPr>
        <w:pStyle w:val="Textoindependiente"/>
        <w:spacing w:line="240" w:lineRule="auto"/>
        <w:jc w:val="both"/>
        <w:rPr>
          <w:rFonts w:ascii="Arial Narrow" w:hAnsi="Arial Narrow"/>
          <w:sz w:val="26"/>
          <w:szCs w:val="26"/>
        </w:rPr>
      </w:pPr>
      <w:r>
        <w:rPr>
          <w:rFonts w:ascii="Arial Narrow" w:hAnsi="Arial Narrow"/>
          <w:sz w:val="26"/>
          <w:szCs w:val="26"/>
        </w:rPr>
        <w:t>La parcela objeto de esta actuación es el resultado de la agrupación de las fincas 2A y 2B del proyecto de reparcelación del ámbito ARI F-16 Pizarro. Cuenta con una superficie de 1.661,98 metros cuadrados y una edificabilidad total de 5.961 metros cuadrados, lo que permitirá el desarrollo de una promoción significativa de vivienda protegida en una zona consolidada de la ciudad.</w:t>
      </w:r>
    </w:p>
    <w:p w:rsidR="003C22D8" w:rsidRDefault="00E42776">
      <w:pPr>
        <w:pStyle w:val="Textoindependiente"/>
        <w:spacing w:line="240" w:lineRule="auto"/>
        <w:jc w:val="both"/>
        <w:rPr>
          <w:rFonts w:ascii="Arial Narrow" w:hAnsi="Arial Narrow"/>
          <w:sz w:val="26"/>
          <w:szCs w:val="26"/>
        </w:rPr>
      </w:pPr>
      <w:r>
        <w:rPr>
          <w:rFonts w:ascii="Arial Narrow" w:hAnsi="Arial Narrow"/>
          <w:sz w:val="26"/>
          <w:szCs w:val="26"/>
        </w:rPr>
        <w:lastRenderedPageBreak/>
        <w:t xml:space="preserve">Como ha recordado Belén de la Cuadra, esta actuación se suma a otras ya impulsadas recientemente por el Ayuntamiento, como ha sido la adjudicación de dos parcelas que son propiedad de la Empresa Municipal de la Vivienda, </w:t>
      </w:r>
      <w:proofErr w:type="spellStart"/>
      <w:r>
        <w:rPr>
          <w:rFonts w:ascii="Arial Narrow" w:hAnsi="Arial Narrow"/>
          <w:sz w:val="26"/>
          <w:szCs w:val="26"/>
        </w:rPr>
        <w:t>Emuvijesa</w:t>
      </w:r>
      <w:proofErr w:type="spellEnd"/>
      <w:r>
        <w:rPr>
          <w:rFonts w:ascii="Arial Narrow" w:hAnsi="Arial Narrow"/>
          <w:sz w:val="26"/>
          <w:szCs w:val="26"/>
        </w:rPr>
        <w:t xml:space="preserve">; una se encuentra en la zona de </w:t>
      </w:r>
      <w:proofErr w:type="spellStart"/>
      <w:r>
        <w:rPr>
          <w:rFonts w:ascii="Arial Narrow" w:hAnsi="Arial Narrow"/>
          <w:sz w:val="26"/>
          <w:szCs w:val="26"/>
        </w:rPr>
        <w:t>Pozoalbero</w:t>
      </w:r>
      <w:proofErr w:type="spellEnd"/>
      <w:r>
        <w:rPr>
          <w:rFonts w:ascii="Arial Narrow" w:hAnsi="Arial Narrow"/>
          <w:sz w:val="26"/>
          <w:szCs w:val="26"/>
        </w:rPr>
        <w:t>, con capacidad para 192 viviendas protegidas en régimen general, y la otra ubicada en la calle Cristal y destinada a vivienda libre.</w:t>
      </w:r>
    </w:p>
    <w:p w:rsidR="003C22D8" w:rsidRDefault="00E42776">
      <w:pPr>
        <w:pStyle w:val="Textoindependiente"/>
        <w:spacing w:line="240" w:lineRule="auto"/>
        <w:jc w:val="both"/>
        <w:rPr>
          <w:rFonts w:ascii="Arial Narrow" w:hAnsi="Arial Narrow"/>
          <w:sz w:val="26"/>
          <w:szCs w:val="26"/>
        </w:rPr>
      </w:pPr>
      <w:r>
        <w:rPr>
          <w:rFonts w:ascii="Arial Narrow" w:hAnsi="Arial Narrow"/>
          <w:sz w:val="26"/>
          <w:szCs w:val="26"/>
        </w:rPr>
        <w:t>Como ha subrayado la responsable municipal, “estamos desarrollando una política activa de promoción de vivienda protegida basada en la movilización de suelo público, la colaboración con la iniciativa privada y la agilización de los procedimientos administrativos, con el objetivo de incrementar la oferta y facilitar el acceso a la vivienda, especialmente a jóvenes y familias”.</w:t>
      </w:r>
    </w:p>
    <w:p w:rsidR="003C22D8" w:rsidRDefault="00E42776">
      <w:pPr>
        <w:pStyle w:val="Textoindependiente"/>
        <w:spacing w:line="240" w:lineRule="auto"/>
        <w:jc w:val="both"/>
        <w:rPr>
          <w:rFonts w:ascii="Arial Narrow" w:hAnsi="Arial Narrow"/>
          <w:sz w:val="26"/>
          <w:szCs w:val="26"/>
        </w:rPr>
      </w:pPr>
      <w:r>
        <w:rPr>
          <w:rFonts w:ascii="Arial Narrow" w:hAnsi="Arial Narrow"/>
          <w:sz w:val="26"/>
          <w:szCs w:val="26"/>
        </w:rPr>
        <w:t>Cabe recordar que, dentro de esta línea de trabajo, el Ayuntamiento está gestionando distintas medidas orientadas a dinamizar el mercado residencial, entre las que se incluyen la identificación y puesta a disposición de nuevas parcelas municipales, la revisión de planeamientos para favorecer la edificabilidad en determinados ámbitos, y el refuerzo de los mecanismos de colaboración público-privada que permitan acelerar la ejecución de promociones.</w:t>
      </w:r>
    </w:p>
    <w:p w:rsidR="003C22D8" w:rsidRDefault="00E42776">
      <w:pPr>
        <w:pStyle w:val="Textoindependiente"/>
        <w:spacing w:line="240" w:lineRule="auto"/>
        <w:jc w:val="both"/>
        <w:rPr>
          <w:rFonts w:ascii="Arial Narrow" w:hAnsi="Arial Narrow"/>
          <w:sz w:val="26"/>
          <w:szCs w:val="26"/>
        </w:rPr>
      </w:pPr>
      <w:r>
        <w:rPr>
          <w:rFonts w:ascii="Arial Narrow" w:hAnsi="Arial Narrow"/>
          <w:sz w:val="26"/>
          <w:szCs w:val="26"/>
        </w:rPr>
        <w:t xml:space="preserve">Asimismo, se están adoptando iniciativas para mejorar la gestión urbanística y reducir los plazos de tramitación de licencias, lo que contribuye a generar un entorno más favorable para la inversión y el desarrollo de proyectos residenciales. </w:t>
      </w:r>
    </w:p>
    <w:p w:rsidR="003C22D8" w:rsidRDefault="003C22D8">
      <w:pPr>
        <w:pStyle w:val="Textoindependiente"/>
        <w:rPr>
          <w:rFonts w:ascii="Arial Narrow" w:hAnsi="Arial Narrow"/>
          <w:sz w:val="26"/>
          <w:szCs w:val="26"/>
        </w:rPr>
      </w:pPr>
    </w:p>
    <w:p w:rsidR="003C22D8" w:rsidRDefault="003C22D8">
      <w:pPr>
        <w:pStyle w:val="Textoindependiente"/>
        <w:rPr>
          <w:rFonts w:ascii="Arial Narrow" w:hAnsi="Arial Narrow"/>
          <w:sz w:val="26"/>
          <w:szCs w:val="26"/>
        </w:rPr>
      </w:pPr>
    </w:p>
    <w:p w:rsidR="003C22D8" w:rsidRDefault="00E42776">
      <w:pPr>
        <w:pStyle w:val="Textoindependiente"/>
        <w:rPr>
          <w:rFonts w:ascii="Arial Narrow" w:hAnsi="Arial Narrow"/>
          <w:sz w:val="26"/>
          <w:szCs w:val="26"/>
        </w:rPr>
      </w:pPr>
      <w:bookmarkStart w:id="0" w:name="_GoBack"/>
      <w:bookmarkEnd w:id="0"/>
      <w:r>
        <w:rPr>
          <w:rFonts w:ascii="Arial Narrow" w:hAnsi="Arial Narrow"/>
          <w:sz w:val="26"/>
          <w:szCs w:val="26"/>
        </w:rPr>
        <w:br/>
      </w:r>
    </w:p>
    <w:sectPr w:rsidR="003C22D8">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A32" w:rsidRDefault="00E42776">
      <w:r>
        <w:separator/>
      </w:r>
    </w:p>
  </w:endnote>
  <w:endnote w:type="continuationSeparator" w:id="0">
    <w:p w:rsidR="00FA2A32" w:rsidRDefault="00E4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Humanst521 Lt BT">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A32" w:rsidRDefault="00E42776">
      <w:r>
        <w:separator/>
      </w:r>
    </w:p>
  </w:footnote>
  <w:footnote w:type="continuationSeparator" w:id="0">
    <w:p w:rsidR="00FA2A32" w:rsidRDefault="00E4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2D8" w:rsidRDefault="003C22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2D8" w:rsidRDefault="00E42776">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3C22D8" w:rsidRDefault="003C22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2D8" w:rsidRDefault="00E42776">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3C22D8" w:rsidRDefault="003C22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3C22D8"/>
    <w:rsid w:val="003C22D8"/>
    <w:rsid w:val="005F1563"/>
    <w:rsid w:val="00D4091F"/>
    <w:rsid w:val="00E42776"/>
    <w:rsid w:val="00FA2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365D2-4819-436C-8860-5F007DF5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Hipervnculovisitado1">
    <w:name w:val="Hipervínculo visitado1"/>
    <w:qFormat/>
    <w:rPr>
      <w:color w:val="800080"/>
      <w:u w:val="single"/>
    </w:rPr>
  </w:style>
  <w:style w:type="character" w:customStyle="1" w:styleId="nfasis1">
    <w:name w:val="Énfasis1"/>
    <w:qFormat/>
    <w:rPr>
      <w:i/>
      <w:iCs/>
    </w:rPr>
  </w:style>
  <w:style w:type="character" w:customStyle="1" w:styleId="Hipervnculo1">
    <w:name w:val="Hipervínculo1"/>
    <w:qFormat/>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Textbody">
    <w:name w:val="Text body"/>
    <w:basedOn w:val="Standard"/>
    <w:qFormat/>
    <w:rPr>
      <w:rFonts w:ascii="Humanst521 Lt BT" w:hAnsi="Humanst521 Lt BT" w:cs="Humanst521 Lt BT"/>
      <w:sz w:val="28"/>
    </w:rPr>
  </w:style>
  <w:style w:type="paragraph" w:customStyle="1" w:styleId="caption111111">
    <w:name w:val="caption111111"/>
    <w:basedOn w:val="Normal"/>
    <w:qFormat/>
    <w:pPr>
      <w:suppressLineNumbers/>
      <w:spacing w:before="120" w:after="120"/>
    </w:pPr>
    <w:rPr>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2</Pages>
  <Words>618</Words>
  <Characters>3403</Characters>
  <Application>Microsoft Office Word</Application>
  <DocSecurity>0</DocSecurity>
  <Lines>28</Lines>
  <Paragraphs>8</Paragraphs>
  <ScaleCrop>false</ScaleCrop>
  <Company>Aytojerez</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Carlos Alarcón Sánchez</cp:lastModifiedBy>
  <cp:revision>97</cp:revision>
  <dcterms:created xsi:type="dcterms:W3CDTF">2008-04-18T08:06:00Z</dcterms:created>
  <dcterms:modified xsi:type="dcterms:W3CDTF">2026-04-27T09:54:00Z</dcterms:modified>
  <dc:language>es-ES</dc:language>
</cp:coreProperties>
</file>