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A8C" w:rsidRDefault="00161A8C">
      <w:pPr>
        <w:rPr>
          <w:b/>
          <w:bCs/>
        </w:rPr>
      </w:pPr>
    </w:p>
    <w:p w:rsidR="00161A8C" w:rsidRDefault="00E43012">
      <w:r>
        <w:rPr>
          <w:rStyle w:val="Textoennegrita"/>
          <w:rFonts w:ascii="Arial Narrow" w:hAnsi="Arial Narrow"/>
          <w:sz w:val="40"/>
          <w:szCs w:val="40"/>
        </w:rPr>
        <w:t>Jerez se convierte este fin de semana</w:t>
      </w:r>
      <w:r w:rsidR="00027C76">
        <w:rPr>
          <w:rStyle w:val="Textoennegrita"/>
          <w:rFonts w:ascii="Arial Narrow" w:hAnsi="Arial Narrow"/>
          <w:sz w:val="40"/>
          <w:szCs w:val="40"/>
        </w:rPr>
        <w:t xml:space="preserve"> en el epicentro del deporte y </w:t>
      </w:r>
      <w:proofErr w:type="spellStart"/>
      <w:r w:rsidR="00027C76">
        <w:rPr>
          <w:rStyle w:val="Textoennegrita"/>
          <w:rFonts w:ascii="Arial Narrow" w:hAnsi="Arial Narrow"/>
          <w:sz w:val="40"/>
          <w:szCs w:val="40"/>
        </w:rPr>
        <w:t>enoturismo</w:t>
      </w:r>
      <w:proofErr w:type="spellEnd"/>
      <w:r w:rsidR="00027C76">
        <w:rPr>
          <w:rStyle w:val="Textoennegrita"/>
          <w:rFonts w:ascii="Arial Narrow" w:hAnsi="Arial Narrow"/>
          <w:sz w:val="40"/>
          <w:szCs w:val="40"/>
        </w:rPr>
        <w:t xml:space="preserve"> con la celebración de la JJP Sherry Maratón y la JJP Sherry </w:t>
      </w:r>
      <w:proofErr w:type="spellStart"/>
      <w:r w:rsidR="00027C76">
        <w:rPr>
          <w:rStyle w:val="Textoennegrita"/>
          <w:rFonts w:ascii="Arial Narrow" w:hAnsi="Arial Narrow"/>
          <w:sz w:val="40"/>
          <w:szCs w:val="40"/>
        </w:rPr>
        <w:t>Bike</w:t>
      </w:r>
      <w:proofErr w:type="spellEnd"/>
    </w:p>
    <w:p w:rsidR="00161A8C" w:rsidRDefault="00161A8C">
      <w:pPr>
        <w:rPr>
          <w:rStyle w:val="Textoennegrita"/>
          <w:rFonts w:ascii="Arial Narrow" w:hAnsi="Arial Narrow"/>
          <w:sz w:val="40"/>
          <w:szCs w:val="40"/>
        </w:rPr>
      </w:pPr>
    </w:p>
    <w:p w:rsidR="00161A8C" w:rsidRDefault="00E43012" w:rsidP="00E43012">
      <w:r>
        <w:rPr>
          <w:rStyle w:val="Textoennegrita"/>
          <w:rFonts w:ascii="Arial Narrow" w:hAnsi="Arial Narrow"/>
          <w:b w:val="0"/>
          <w:bCs w:val="0"/>
          <w:sz w:val="36"/>
          <w:szCs w:val="36"/>
        </w:rPr>
        <w:t xml:space="preserve">Tomás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36"/>
          <w:szCs w:val="36"/>
        </w:rPr>
        <w:t>Sampalo</w:t>
      </w:r>
      <w:proofErr w:type="spellEnd"/>
      <w:r w:rsidR="00027C76">
        <w:rPr>
          <w:rStyle w:val="Textoennegrita"/>
          <w:rFonts w:ascii="Arial Narrow" w:hAnsi="Arial Narrow"/>
          <w:b w:val="0"/>
          <w:bCs w:val="0"/>
          <w:sz w:val="36"/>
          <w:szCs w:val="36"/>
        </w:rPr>
        <w:t xml:space="preserve"> destaca la consolidación de estas pruebas que suman más  3.600 inscritos y refuerzan a Jerez como referente en la organización de grandes eventos deportivos</w:t>
      </w:r>
    </w:p>
    <w:p w:rsidR="00161A8C" w:rsidRDefault="00161A8C" w:rsidP="00E43012">
      <w:pPr>
        <w:pStyle w:val="Textoindependiente"/>
        <w:spacing w:line="240" w:lineRule="auto"/>
        <w:rPr>
          <w:rFonts w:ascii="Arial Narrow" w:hAnsi="Arial Narrow"/>
          <w:sz w:val="26"/>
          <w:szCs w:val="26"/>
        </w:rPr>
      </w:pPr>
    </w:p>
    <w:p w:rsidR="00161A8C" w:rsidRDefault="00027C76">
      <w:pPr>
        <w:pStyle w:val="Textoindependiente"/>
        <w:spacing w:after="0" w:line="240" w:lineRule="auto"/>
        <w:jc w:val="both"/>
      </w:pPr>
      <w:r>
        <w:rPr>
          <w:rStyle w:val="Textoennegrita"/>
          <w:rFonts w:ascii="Arial Narrow" w:hAnsi="Arial Narrow"/>
          <w:sz w:val="26"/>
          <w:szCs w:val="26"/>
        </w:rPr>
        <w:t>30 de abril de 2026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.</w:t>
      </w:r>
      <w:r w:rsidR="00E43012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Jerez se prepara para vivir un fin de semana deportivo de primer nivel. El delegado de Deportes y Salud,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Tomás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Sampalo</w:t>
      </w:r>
      <w:proofErr w:type="spellEnd"/>
      <w:r>
        <w:rPr>
          <w:rFonts w:ascii="Arial Narrow" w:hAnsi="Arial Narrow"/>
          <w:sz w:val="26"/>
          <w:szCs w:val="26"/>
        </w:rPr>
        <w:t xml:space="preserve">, ha presentado, acompañado por el CEO de Terra Incógnita, José Manuel Toledo y el presidente del Consejo Regulador, Cesar Saldaña,  la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JJP Sherry Maratón</w:t>
      </w:r>
      <w:r>
        <w:rPr>
          <w:rFonts w:ascii="Arial Narrow" w:hAnsi="Arial Narrow"/>
          <w:sz w:val="26"/>
          <w:szCs w:val="26"/>
        </w:rPr>
        <w:t xml:space="preserve"> y la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JJP Sherry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Bike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2026</w:t>
      </w:r>
      <w:r>
        <w:rPr>
          <w:rFonts w:ascii="Arial Narrow" w:hAnsi="Arial Narrow"/>
          <w:sz w:val="26"/>
          <w:szCs w:val="26"/>
        </w:rPr>
        <w:t>, dos citas que este año reunirá</w:t>
      </w:r>
      <w:r w:rsidR="00E43012">
        <w:rPr>
          <w:rFonts w:ascii="Arial Narrow" w:hAnsi="Arial Narrow"/>
          <w:sz w:val="26"/>
          <w:szCs w:val="26"/>
        </w:rPr>
        <w:t>n</w:t>
      </w:r>
      <w:r>
        <w:rPr>
          <w:rFonts w:ascii="Arial Narrow" w:hAnsi="Arial Narrow"/>
          <w:sz w:val="26"/>
          <w:szCs w:val="26"/>
        </w:rPr>
        <w:t xml:space="preserve"> a más de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3.660 participantes</w:t>
      </w:r>
      <w:r>
        <w:rPr>
          <w:rFonts w:ascii="Arial Narrow" w:hAnsi="Arial Narrow"/>
          <w:sz w:val="26"/>
          <w:szCs w:val="26"/>
        </w:rPr>
        <w:t>, consolidando a la ciudad como un escaparate internacional tras el Mundial de Motociclismo. Los participantes pertenecen a más de 50 nacionalidades.</w:t>
      </w:r>
    </w:p>
    <w:p w:rsidR="00161A8C" w:rsidRDefault="00161A8C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161A8C" w:rsidRDefault="00027C76">
      <w:pPr>
        <w:pStyle w:val="Textoindependiente"/>
        <w:spacing w:after="0" w:line="240" w:lineRule="auto"/>
        <w:jc w:val="both"/>
      </w:pPr>
      <w:r>
        <w:rPr>
          <w:rFonts w:ascii="Arial Narrow" w:hAnsi="Arial Narrow"/>
          <w:sz w:val="26"/>
          <w:szCs w:val="26"/>
        </w:rPr>
        <w:t xml:space="preserve">"Jerez es sede de competiciones de primer nivel. Pasamos del motor al atletismo y al ciclismo con dos pruebas que son embajadoras de nuestra promoción exterior", ha señalado </w:t>
      </w:r>
      <w:proofErr w:type="spellStart"/>
      <w:r>
        <w:rPr>
          <w:rFonts w:ascii="Arial Narrow" w:hAnsi="Arial Narrow"/>
          <w:sz w:val="26"/>
          <w:szCs w:val="26"/>
        </w:rPr>
        <w:t>Sampalo</w:t>
      </w:r>
      <w:proofErr w:type="spellEnd"/>
      <w:r>
        <w:rPr>
          <w:rFonts w:ascii="Arial Narrow" w:hAnsi="Arial Narrow"/>
          <w:sz w:val="26"/>
          <w:szCs w:val="26"/>
        </w:rPr>
        <w:t xml:space="preserve">, quien también ha subrayado el impacto económico y la singularidad de correr entre las viñas del Marco de Jerez en el año en que la ciudad ostenta la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Capitalidad Gastronómica de España</w:t>
      </w:r>
      <w:r>
        <w:rPr>
          <w:rFonts w:ascii="Arial Narrow" w:hAnsi="Arial Narrow"/>
          <w:sz w:val="26"/>
          <w:szCs w:val="26"/>
        </w:rPr>
        <w:t>.</w:t>
      </w:r>
    </w:p>
    <w:p w:rsidR="00161A8C" w:rsidRDefault="00161A8C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161A8C" w:rsidRDefault="00027C76">
      <w:pPr>
        <w:pStyle w:val="Textoindependiente"/>
        <w:spacing w:line="240" w:lineRule="auto"/>
        <w:jc w:val="both"/>
      </w:pPr>
      <w:r>
        <w:rPr>
          <w:rFonts w:ascii="Arial Narrow" w:hAnsi="Arial Narrow"/>
          <w:sz w:val="26"/>
          <w:szCs w:val="26"/>
        </w:rPr>
        <w:t xml:space="preserve">La sexta edición de la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JJP Sherry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Bike</w:t>
      </w:r>
      <w:proofErr w:type="spellEnd"/>
      <w:r>
        <w:rPr>
          <w:rFonts w:ascii="Arial Narrow" w:hAnsi="Arial Narrow"/>
          <w:sz w:val="26"/>
          <w:szCs w:val="26"/>
        </w:rPr>
        <w:t xml:space="preserve"> abrirá el fin de semana el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sábado 2 de mayo</w:t>
      </w:r>
      <w:r>
        <w:rPr>
          <w:rFonts w:ascii="Arial Narrow" w:hAnsi="Arial Narrow"/>
          <w:sz w:val="26"/>
          <w:szCs w:val="26"/>
        </w:rPr>
        <w:t xml:space="preserve">. Con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860 inscritos</w:t>
      </w:r>
      <w:r w:rsidR="00E43012">
        <w:rPr>
          <w:rFonts w:ascii="Arial Narrow" w:hAnsi="Arial Narrow"/>
          <w:sz w:val="26"/>
          <w:szCs w:val="26"/>
        </w:rPr>
        <w:t xml:space="preserve">, </w:t>
      </w:r>
      <w:r>
        <w:rPr>
          <w:rFonts w:ascii="Arial Narrow" w:hAnsi="Arial Narrow"/>
          <w:sz w:val="26"/>
          <w:szCs w:val="26"/>
        </w:rPr>
        <w:t xml:space="preserve">la prueba se consolida en tres modalidades: MTB, </w:t>
      </w:r>
      <w:proofErr w:type="spellStart"/>
      <w:r>
        <w:rPr>
          <w:rFonts w:ascii="Arial Narrow" w:hAnsi="Arial Narrow"/>
          <w:sz w:val="26"/>
          <w:szCs w:val="26"/>
        </w:rPr>
        <w:t>Gravel</w:t>
      </w:r>
      <w:proofErr w:type="spellEnd"/>
      <w:r>
        <w:rPr>
          <w:rFonts w:ascii="Arial Narrow" w:hAnsi="Arial Narrow"/>
          <w:sz w:val="26"/>
          <w:szCs w:val="26"/>
        </w:rPr>
        <w:t xml:space="preserve"> y </w:t>
      </w:r>
      <w:proofErr w:type="spellStart"/>
      <w:r>
        <w:rPr>
          <w:rFonts w:ascii="Arial Narrow" w:hAnsi="Arial Narrow"/>
          <w:sz w:val="26"/>
          <w:szCs w:val="26"/>
        </w:rPr>
        <w:t>Ebike</w:t>
      </w:r>
      <w:proofErr w:type="spellEnd"/>
      <w:r>
        <w:rPr>
          <w:rFonts w:ascii="Arial Narrow" w:hAnsi="Arial Narrow"/>
          <w:sz w:val="26"/>
          <w:szCs w:val="26"/>
        </w:rPr>
        <w:t>.  El 52,6% de los ciclistas se enfrentará al Maratón (66,6 km), mientras que el 47,4% optará por la Media Maratón (46,6 km). Un 60% de los participantes provienen de fuera de la provincia de Cád</w:t>
      </w:r>
      <w:r w:rsidR="00E43012">
        <w:rPr>
          <w:rFonts w:ascii="Arial Narrow" w:hAnsi="Arial Narrow"/>
          <w:sz w:val="26"/>
          <w:szCs w:val="26"/>
        </w:rPr>
        <w:t>iz y un 10% son internacionales.</w:t>
      </w:r>
    </w:p>
    <w:p w:rsidR="00161A8C" w:rsidRDefault="00027C76">
      <w:pPr>
        <w:pStyle w:val="Textoindependiente"/>
        <w:spacing w:line="240" w:lineRule="auto"/>
        <w:jc w:val="both"/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El recorrido  es u</w:t>
      </w:r>
      <w:r>
        <w:rPr>
          <w:rFonts w:ascii="Arial Narrow" w:hAnsi="Arial Narrow"/>
          <w:sz w:val="26"/>
          <w:szCs w:val="26"/>
        </w:rPr>
        <w:t xml:space="preserve">na ruta circular con salida y meta en la emblemática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Alameda Vieja</w:t>
      </w:r>
      <w:r>
        <w:rPr>
          <w:rFonts w:ascii="Arial Narrow" w:hAnsi="Arial Narrow"/>
          <w:sz w:val="26"/>
          <w:szCs w:val="26"/>
        </w:rPr>
        <w:t>, que recorre caminos de albariza, cortijos y bodegas, con puntos de avituallamiento estratégicos.</w:t>
      </w:r>
    </w:p>
    <w:p w:rsidR="00161A8C" w:rsidRDefault="00027C76">
      <w:pPr>
        <w:pStyle w:val="Textoindependiente"/>
        <w:spacing w:line="240" w:lineRule="auto"/>
        <w:jc w:val="both"/>
      </w:pPr>
      <w:r>
        <w:rPr>
          <w:rFonts w:ascii="Arial Narrow" w:hAnsi="Arial Narrow"/>
          <w:sz w:val="26"/>
          <w:szCs w:val="26"/>
        </w:rPr>
        <w:t xml:space="preserve">Por otro lado, el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domingo 3 de mayo</w:t>
      </w:r>
      <w:r>
        <w:rPr>
          <w:rFonts w:ascii="Arial Narrow" w:hAnsi="Arial Narrow"/>
          <w:sz w:val="26"/>
          <w:szCs w:val="26"/>
        </w:rPr>
        <w:t xml:space="preserve"> será el turno de la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JJP Sherry Maratón</w:t>
      </w:r>
      <w:r>
        <w:rPr>
          <w:rFonts w:ascii="Arial Narrow" w:hAnsi="Arial Narrow"/>
          <w:sz w:val="26"/>
          <w:szCs w:val="26"/>
        </w:rPr>
        <w:t xml:space="preserve">, que cuenta con unos datos de participación sólidos: más de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2.800 inscritos</w:t>
      </w:r>
      <w:r>
        <w:rPr>
          <w:rFonts w:ascii="Arial Narrow" w:hAnsi="Arial Narrow"/>
          <w:sz w:val="26"/>
          <w:szCs w:val="26"/>
        </w:rPr>
        <w:t xml:space="preserve">. </w:t>
      </w:r>
    </w:p>
    <w:p w:rsidR="00E43012" w:rsidRDefault="00027C76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Tomás </w:t>
      </w:r>
      <w:proofErr w:type="spellStart"/>
      <w:r>
        <w:rPr>
          <w:rFonts w:ascii="Arial Narrow" w:hAnsi="Arial Narrow"/>
          <w:sz w:val="26"/>
          <w:szCs w:val="26"/>
        </w:rPr>
        <w:t>Sampalo</w:t>
      </w:r>
      <w:proofErr w:type="spellEnd"/>
      <w:r>
        <w:rPr>
          <w:rFonts w:ascii="Arial Narrow" w:hAnsi="Arial Narrow"/>
          <w:sz w:val="26"/>
          <w:szCs w:val="26"/>
        </w:rPr>
        <w:t xml:space="preserve"> ha querido felicitar a la organización (JJP), a la Diputación de Cádiz y al Consejo Regulador por el esfuerzo logístico. "Si el recorrido son las calles de nuestra ciudad y los caminos de nuestras viñas, estamos ante una prueba única. Invitamos a todos los jerezanos a disfrutar de este espectáculo, ya sea como corredores o animando en las calles", concluyó. </w:t>
      </w:r>
    </w:p>
    <w:p w:rsidR="00161A8C" w:rsidRDefault="00027C76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>Asimismo, ha destacado la singularidad de las dos actividades donde se mezclan</w:t>
      </w:r>
      <w:r w:rsidR="001055F6">
        <w:rPr>
          <w:rFonts w:ascii="Arial Narrow" w:hAnsi="Arial Narrow"/>
          <w:sz w:val="26"/>
          <w:szCs w:val="26"/>
        </w:rPr>
        <w:t xml:space="preserve">  el deporte y el </w:t>
      </w:r>
      <w:proofErr w:type="spellStart"/>
      <w:r w:rsidR="001055F6">
        <w:rPr>
          <w:rFonts w:ascii="Arial Narrow" w:hAnsi="Arial Narrow"/>
          <w:sz w:val="26"/>
          <w:szCs w:val="26"/>
        </w:rPr>
        <w:t>enoturismo</w:t>
      </w:r>
      <w:proofErr w:type="spellEnd"/>
      <w:r w:rsidR="001055F6">
        <w:rPr>
          <w:rFonts w:ascii="Arial Narrow" w:hAnsi="Arial Narrow"/>
          <w:sz w:val="26"/>
          <w:szCs w:val="26"/>
        </w:rPr>
        <w:t>, “</w:t>
      </w:r>
      <w:r>
        <w:rPr>
          <w:rFonts w:ascii="Arial Narrow" w:hAnsi="Arial Narrow"/>
          <w:sz w:val="26"/>
          <w:szCs w:val="26"/>
        </w:rPr>
        <w:t xml:space="preserve">nosotros somos albariza, somos viña, somos cortijo y esta prueba da una visibilidad a todo ello”. </w:t>
      </w:r>
    </w:p>
    <w:p w:rsidR="00161A8C" w:rsidRDefault="00161A8C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161A8C" w:rsidRDefault="00027C76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Tanto Cesar Saldaña como José Manuel Toledo han agradecido </w:t>
      </w:r>
      <w:r w:rsidR="001055F6">
        <w:rPr>
          <w:rFonts w:ascii="Arial Narrow" w:hAnsi="Arial Narrow"/>
          <w:sz w:val="26"/>
          <w:szCs w:val="26"/>
        </w:rPr>
        <w:t>tanto a</w:t>
      </w:r>
      <w:r>
        <w:rPr>
          <w:rFonts w:ascii="Arial Narrow" w:hAnsi="Arial Narrow"/>
          <w:sz w:val="26"/>
          <w:szCs w:val="26"/>
        </w:rPr>
        <w:t xml:space="preserve"> los patrocinadores  privados como a la Policía Local y Delegación de Movilidad su apuesta e implicación para que ambas pruebas sean todo un éxito. Ambos han mostrado su satisfacción  por el desar</w:t>
      </w:r>
      <w:r w:rsidR="001055F6">
        <w:rPr>
          <w:rFonts w:ascii="Arial Narrow" w:hAnsi="Arial Narrow"/>
          <w:sz w:val="26"/>
          <w:szCs w:val="26"/>
        </w:rPr>
        <w:t>rollo y la participación  que “</w:t>
      </w:r>
      <w:r>
        <w:rPr>
          <w:rFonts w:ascii="Arial Narrow" w:hAnsi="Arial Narrow"/>
          <w:sz w:val="26"/>
          <w:szCs w:val="26"/>
        </w:rPr>
        <w:t>crece cada año”. También han adelantado que ya están inmersos en la celebración del décimo anivers</w:t>
      </w:r>
      <w:r w:rsidR="001055F6">
        <w:rPr>
          <w:rFonts w:ascii="Arial Narrow" w:hAnsi="Arial Narrow"/>
          <w:sz w:val="26"/>
          <w:szCs w:val="26"/>
        </w:rPr>
        <w:t>ario del maratón el próximo año</w:t>
      </w:r>
      <w:r>
        <w:rPr>
          <w:rFonts w:ascii="Arial Narrow" w:hAnsi="Arial Narrow"/>
          <w:sz w:val="26"/>
          <w:szCs w:val="26"/>
        </w:rPr>
        <w:t xml:space="preserve">. </w:t>
      </w:r>
    </w:p>
    <w:p w:rsidR="00161A8C" w:rsidRDefault="00161A8C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161A8C" w:rsidRPr="001055F6" w:rsidRDefault="00027C76">
      <w:pPr>
        <w:pStyle w:val="Textoindependiente"/>
        <w:spacing w:after="0" w:line="240" w:lineRule="auto"/>
        <w:jc w:val="both"/>
        <w:rPr>
          <w:rFonts w:ascii="Arial Narrow" w:hAnsi="Arial Narrow"/>
          <w:b/>
          <w:sz w:val="26"/>
          <w:szCs w:val="26"/>
        </w:rPr>
      </w:pPr>
      <w:r w:rsidRPr="001055F6">
        <w:rPr>
          <w:rFonts w:ascii="Arial Narrow" w:hAnsi="Arial Narrow"/>
          <w:b/>
          <w:sz w:val="26"/>
          <w:szCs w:val="26"/>
        </w:rPr>
        <w:t xml:space="preserve">Características </w:t>
      </w:r>
    </w:p>
    <w:p w:rsidR="00161A8C" w:rsidRDefault="00161A8C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161A8C" w:rsidRDefault="00027C76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Media Maratón (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21K) es la distancia reina con el 48% de los inscritos, seguida de la </w:t>
      </w:r>
      <w:proofErr w:type="spellStart"/>
      <w:r>
        <w:rPr>
          <w:rFonts w:ascii="Arial Narrow" w:hAnsi="Arial Narrow"/>
          <w:sz w:val="26"/>
          <w:szCs w:val="26"/>
        </w:rPr>
        <w:t>Promo</w:t>
      </w:r>
      <w:proofErr w:type="spellEnd"/>
      <w:r>
        <w:rPr>
          <w:rFonts w:ascii="Arial Narrow" w:hAnsi="Arial Narrow"/>
          <w:sz w:val="26"/>
          <w:szCs w:val="26"/>
        </w:rPr>
        <w:t xml:space="preserve"> (14K) con un 41% y el Maratón (42K) con un 11%. Las distancias Media y </w:t>
      </w:r>
      <w:proofErr w:type="spellStart"/>
      <w:r>
        <w:rPr>
          <w:rFonts w:ascii="Arial Narrow" w:hAnsi="Arial Narrow"/>
          <w:sz w:val="26"/>
          <w:szCs w:val="26"/>
        </w:rPr>
        <w:t>Promo</w:t>
      </w:r>
      <w:proofErr w:type="spellEnd"/>
      <w:r>
        <w:rPr>
          <w:rFonts w:ascii="Arial Narrow" w:hAnsi="Arial Narrow"/>
          <w:sz w:val="26"/>
          <w:szCs w:val="26"/>
        </w:rPr>
        <w:t xml:space="preserve"> permiten además la modalidad de senderismo.</w:t>
      </w:r>
    </w:p>
    <w:p w:rsidR="00161A8C" w:rsidRDefault="00161A8C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161A8C" w:rsidRDefault="00027C76">
      <w:pPr>
        <w:pStyle w:val="Textoindependiente"/>
        <w:spacing w:after="0" w:line="240" w:lineRule="auto"/>
        <w:jc w:val="both"/>
      </w:pPr>
      <w:r>
        <w:rPr>
          <w:rFonts w:ascii="Arial Narrow" w:hAnsi="Arial Narrow"/>
          <w:sz w:val="26"/>
          <w:szCs w:val="26"/>
        </w:rPr>
        <w:t xml:space="preserve">Cerca del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40% de los inscritos son mujeres</w:t>
      </w:r>
      <w:r>
        <w:rPr>
          <w:rFonts w:ascii="Arial Narrow" w:hAnsi="Arial Narrow"/>
          <w:sz w:val="26"/>
          <w:szCs w:val="26"/>
        </w:rPr>
        <w:t>, situándola como una de las pruebas con mayor participación femenina de España y el 20% de los corredores son extranjeros de más de 50 nacionalidades, destacando grupos de Reino Unido, EE. UU., Portugal e Italia.</w:t>
      </w:r>
    </w:p>
    <w:p w:rsidR="00161A8C" w:rsidRDefault="00161A8C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161A8C" w:rsidRDefault="00027C76">
      <w:pPr>
        <w:pStyle w:val="Textoindependiente"/>
        <w:spacing w:after="0" w:line="240" w:lineRule="auto"/>
        <w:jc w:val="both"/>
      </w:pPr>
      <w:r>
        <w:rPr>
          <w:rFonts w:ascii="Arial Narrow" w:hAnsi="Arial Narrow"/>
          <w:sz w:val="26"/>
          <w:szCs w:val="26"/>
        </w:rPr>
        <w:t xml:space="preserve">Los corredores disfrutarán de un itinerario que combina el centro histórico con la belleza de las viñas. Los avituallamientos se situarán en bodegas de renombre como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Luis Pérez, González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Byass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(Viña Canariera) y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Valdespino</w:t>
      </w:r>
      <w:proofErr w:type="spellEnd"/>
      <w:r>
        <w:rPr>
          <w:rFonts w:ascii="Arial Narrow" w:hAnsi="Arial Narrow"/>
          <w:sz w:val="26"/>
          <w:szCs w:val="26"/>
        </w:rPr>
        <w:t>.</w:t>
      </w:r>
    </w:p>
    <w:p w:rsidR="00161A8C" w:rsidRDefault="00161A8C">
      <w:pPr>
        <w:pStyle w:val="Textoindependiente"/>
        <w:spacing w:after="0"/>
        <w:jc w:val="both"/>
        <w:rPr>
          <w:rFonts w:ascii="Arial Narrow" w:hAnsi="Arial Narrow"/>
          <w:sz w:val="26"/>
          <w:szCs w:val="26"/>
        </w:rPr>
      </w:pPr>
    </w:p>
    <w:p w:rsidR="00161A8C" w:rsidRDefault="00161A8C">
      <w:pPr>
        <w:pStyle w:val="Textoindependiente"/>
        <w:spacing w:after="0"/>
        <w:jc w:val="both"/>
        <w:rPr>
          <w:rFonts w:ascii="Arial Narrow" w:hAnsi="Arial Narrow"/>
          <w:sz w:val="26"/>
          <w:szCs w:val="26"/>
        </w:rPr>
      </w:pPr>
    </w:p>
    <w:p w:rsidR="00161A8C" w:rsidRDefault="00027C76">
      <w:pPr>
        <w:pStyle w:val="Textoindependiente"/>
        <w:spacing w:after="0"/>
        <w:jc w:val="both"/>
      </w:pPr>
      <w:r>
        <w:t>Enlaces de audio:</w:t>
      </w:r>
    </w:p>
    <w:p w:rsidR="00161A8C" w:rsidRDefault="00161A8C">
      <w:pPr>
        <w:pStyle w:val="Textoindependiente"/>
        <w:spacing w:after="0"/>
        <w:jc w:val="both"/>
        <w:rPr>
          <w:rFonts w:ascii="Arial Narrow" w:hAnsi="Arial Narrow"/>
          <w:sz w:val="26"/>
          <w:szCs w:val="26"/>
        </w:rPr>
      </w:pPr>
    </w:p>
    <w:p w:rsidR="00161A8C" w:rsidRDefault="001055F6">
      <w:pPr>
        <w:pStyle w:val="Textoindependiente"/>
        <w:spacing w:after="0"/>
        <w:jc w:val="both"/>
      </w:pPr>
      <w:hyperlink r:id="rId7" w:tgtFrame="_blank">
        <w:r w:rsidR="00027C76">
          <w:rPr>
            <w:rStyle w:val="Hipervnculo"/>
            <w:rFonts w:ascii="Aptos;Aptos EmbeddedFont;Aptos" w:hAnsi="Aptos;Aptos EmbeddedFont;Aptos"/>
          </w:rPr>
          <w:t>https://almacen.redsara.es/sending/public/6877e750-a596-4a4e-81c8-2be55808d786</w:t>
        </w:r>
      </w:hyperlink>
      <w:r w:rsidR="00027C76">
        <w:t xml:space="preserve"> </w:t>
      </w:r>
    </w:p>
    <w:sectPr w:rsidR="00161A8C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5BF" w:rsidRDefault="00027C76">
      <w:r>
        <w:separator/>
      </w:r>
    </w:p>
  </w:endnote>
  <w:endnote w:type="continuationSeparator" w:id="0">
    <w:p w:rsidR="002665BF" w:rsidRDefault="00027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0000000000000000000"/>
    <w:charset w:val="00"/>
    <w:family w:val="roman"/>
    <w:notTrueType/>
    <w:pitch w:val="default"/>
  </w:font>
  <w:font w:name="OpenSymbol">
    <w:altName w:val="Arial Unicode MS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正文 CS 字体)">
    <w:altName w:val="MS Gothic"/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ptos;Aptos EmbeddedFont;Apto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5BF" w:rsidRDefault="00027C76">
      <w:r>
        <w:separator/>
      </w:r>
    </w:p>
  </w:footnote>
  <w:footnote w:type="continuationSeparator" w:id="0">
    <w:p w:rsidR="002665BF" w:rsidRDefault="00027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A8C" w:rsidRDefault="00027C76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50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61A8C" w:rsidRDefault="00161A8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529A"/>
    <w:multiLevelType w:val="multilevel"/>
    <w:tmpl w:val="517C79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57511A"/>
    <w:multiLevelType w:val="multilevel"/>
    <w:tmpl w:val="3C445FB4"/>
    <w:lvl w:ilvl="0">
      <w:start w:val="1"/>
      <w:numFmt w:val="bullet"/>
      <w:pStyle w:val="Listaconvieta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9F75EE"/>
    <w:multiLevelType w:val="multilevel"/>
    <w:tmpl w:val="E0C2349E"/>
    <w:lvl w:ilvl="0">
      <w:start w:val="1"/>
      <w:numFmt w:val="bullet"/>
      <w:pStyle w:val="Listaconvietas2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F315861"/>
    <w:multiLevelType w:val="multilevel"/>
    <w:tmpl w:val="BA0A94A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9F90DFF"/>
    <w:multiLevelType w:val="multilevel"/>
    <w:tmpl w:val="2C227EAE"/>
    <w:lvl w:ilvl="0">
      <w:start w:val="1"/>
      <w:numFmt w:val="decimal"/>
      <w:pStyle w:val="Listaconnmeros2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A8C"/>
    <w:rsid w:val="00027C76"/>
    <w:rsid w:val="001055F6"/>
    <w:rsid w:val="00161A8C"/>
    <w:rsid w:val="002665BF"/>
    <w:rsid w:val="00E4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3489D1-FEBF-41A7-8F6C-F6C6C0F1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numPr>
        <w:numId w:val="4"/>
      </w:numPr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numPr>
        <w:numId w:val="3"/>
      </w:numPr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numPr>
        <w:numId w:val="2"/>
      </w:numPr>
      <w:spacing w:after="200" w:line="360" w:lineRule="auto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numPr>
        <w:numId w:val="1"/>
      </w:numPr>
      <w:spacing w:after="20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lmacen.redsara.es/sending/public/6877e750-a596-4a4e-81c8-2be55808d7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4</cp:revision>
  <cp:lastPrinted>2026-03-13T13:05:00Z</cp:lastPrinted>
  <dcterms:created xsi:type="dcterms:W3CDTF">2026-04-30T12:29:00Z</dcterms:created>
  <dcterms:modified xsi:type="dcterms:W3CDTF">2026-04-30T12:33:00Z</dcterms:modified>
  <dc:language>es-ES</dc:language>
</cp:coreProperties>
</file>