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4D" w:rsidRDefault="0086704D" w:rsidP="0086704D">
      <w:pPr>
        <w:ind w:left="142" w:right="140"/>
        <w:rPr>
          <w:rFonts w:ascii="Arial Narrow" w:hAnsi="Arial Narrow"/>
          <w:b/>
          <w:sz w:val="40"/>
          <w:szCs w:val="26"/>
        </w:rPr>
      </w:pPr>
      <w:bookmarkStart w:id="0" w:name="_GoBack"/>
      <w:bookmarkEnd w:id="0"/>
    </w:p>
    <w:p w:rsidR="0031300F" w:rsidRPr="0086704D" w:rsidRDefault="00A21524" w:rsidP="0086704D">
      <w:pPr>
        <w:ind w:left="142" w:right="140"/>
        <w:rPr>
          <w:rFonts w:ascii="Arial Narrow" w:hAnsi="Arial Narrow"/>
          <w:b/>
          <w:sz w:val="40"/>
          <w:szCs w:val="26"/>
        </w:rPr>
      </w:pPr>
      <w:r w:rsidRPr="0086704D">
        <w:rPr>
          <w:rFonts w:ascii="Arial Narrow" w:hAnsi="Arial Narrow"/>
          <w:b/>
          <w:sz w:val="40"/>
          <w:szCs w:val="26"/>
        </w:rPr>
        <w:t xml:space="preserve">La Sala Compañía acoge este viernes una velada dedicada íntegramente al teatro clásico </w:t>
      </w:r>
    </w:p>
    <w:p w:rsidR="00A21524" w:rsidRP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</w:p>
    <w:p w:rsidR="00A21524" w:rsidRPr="0086704D" w:rsidRDefault="0086704D" w:rsidP="0086704D">
      <w:pPr>
        <w:ind w:left="142" w:right="140"/>
        <w:rPr>
          <w:rFonts w:ascii="Arial Narrow" w:hAnsi="Arial Narrow"/>
          <w:b/>
          <w:sz w:val="36"/>
          <w:szCs w:val="26"/>
        </w:rPr>
      </w:pPr>
      <w:r w:rsidRPr="0086704D">
        <w:rPr>
          <w:rFonts w:ascii="Arial Narrow" w:hAnsi="Arial Narrow"/>
          <w:sz w:val="36"/>
        </w:rPr>
        <w:t xml:space="preserve">La cita incluye obras de Shakespeare, Calderón de la Barca y </w:t>
      </w:r>
      <w:proofErr w:type="spellStart"/>
      <w:r w:rsidRPr="0086704D">
        <w:rPr>
          <w:rFonts w:ascii="Arial Narrow" w:hAnsi="Arial Narrow"/>
          <w:sz w:val="36"/>
        </w:rPr>
        <w:t>Molière</w:t>
      </w:r>
      <w:proofErr w:type="spellEnd"/>
      <w:r w:rsidRPr="0086704D">
        <w:rPr>
          <w:rFonts w:ascii="Arial Narrow" w:hAnsi="Arial Narrow"/>
          <w:sz w:val="36"/>
        </w:rPr>
        <w:t xml:space="preserve"> con entrada libre hasta completar aforo</w:t>
      </w:r>
    </w:p>
    <w:p w:rsidR="00A21524" w:rsidRPr="0086704D" w:rsidRDefault="00A21524" w:rsidP="0086704D">
      <w:pPr>
        <w:ind w:left="142" w:right="140"/>
        <w:jc w:val="both"/>
        <w:rPr>
          <w:rFonts w:ascii="Arial Narrow" w:hAnsi="Arial Narrow"/>
          <w:b/>
          <w:sz w:val="26"/>
          <w:szCs w:val="26"/>
        </w:rPr>
      </w:pPr>
    </w:p>
    <w:p w:rsid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  <w:r w:rsidRPr="0086704D">
        <w:rPr>
          <w:rFonts w:ascii="Arial Narrow" w:hAnsi="Arial Narrow"/>
          <w:b/>
          <w:sz w:val="26"/>
          <w:szCs w:val="26"/>
        </w:rPr>
        <w:t>6</w:t>
      </w:r>
      <w:r w:rsidR="006C7E6C" w:rsidRPr="0086704D">
        <w:rPr>
          <w:rFonts w:ascii="Arial Narrow" w:hAnsi="Arial Narrow"/>
          <w:b/>
          <w:sz w:val="26"/>
          <w:szCs w:val="26"/>
        </w:rPr>
        <w:t xml:space="preserve"> </w:t>
      </w:r>
      <w:r w:rsidR="007551D1" w:rsidRPr="0086704D">
        <w:rPr>
          <w:rFonts w:ascii="Arial Narrow" w:hAnsi="Arial Narrow"/>
          <w:b/>
          <w:sz w:val="26"/>
          <w:szCs w:val="26"/>
        </w:rPr>
        <w:t>de mayo</w:t>
      </w:r>
      <w:r w:rsidR="003811F3" w:rsidRPr="0086704D">
        <w:rPr>
          <w:rFonts w:ascii="Arial Narrow" w:hAnsi="Arial Narrow"/>
          <w:b/>
          <w:sz w:val="26"/>
          <w:szCs w:val="26"/>
        </w:rPr>
        <w:t xml:space="preserve"> de 2026.</w:t>
      </w:r>
      <w:r w:rsidR="003811F3" w:rsidRPr="0086704D">
        <w:rPr>
          <w:rFonts w:ascii="Arial Narrow" w:hAnsi="Arial Narrow"/>
          <w:sz w:val="26"/>
          <w:szCs w:val="26"/>
        </w:rPr>
        <w:t xml:space="preserve"> </w:t>
      </w:r>
      <w:r w:rsidRPr="0086704D">
        <w:rPr>
          <w:rFonts w:ascii="Arial Narrow" w:hAnsi="Arial Narrow"/>
          <w:sz w:val="26"/>
          <w:szCs w:val="26"/>
        </w:rPr>
        <w:t xml:space="preserve">La Sala Compañía se convertirá este viernes, 8 de mayo, en un punto de encuentro con la tradición escénica gracias a la celebración de una velada dedicada íntegramente al teatro clásico. </w:t>
      </w:r>
    </w:p>
    <w:p w:rsidR="0086704D" w:rsidRDefault="0086704D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</w:p>
    <w:p w:rsidR="0086704D" w:rsidRP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  <w:r w:rsidRPr="0086704D">
        <w:rPr>
          <w:rFonts w:ascii="Arial Narrow" w:hAnsi="Arial Narrow"/>
          <w:sz w:val="26"/>
          <w:szCs w:val="26"/>
        </w:rPr>
        <w:t xml:space="preserve">La iniciativa, impulsada por la Asociación de Artes Escénicas de Jerez y la Escuela María Espejo, cuenta con el respaldo de la Delegación de Cultura del Ayuntamiento de Jerez y se desarrolla bajo la dirección escénica de Lidia María Jaime y </w:t>
      </w:r>
      <w:proofErr w:type="spellStart"/>
      <w:r w:rsidRPr="0086704D">
        <w:rPr>
          <w:rFonts w:ascii="Arial Narrow" w:hAnsi="Arial Narrow"/>
          <w:sz w:val="26"/>
          <w:szCs w:val="26"/>
        </w:rPr>
        <w:t>Vandy</w:t>
      </w:r>
      <w:proofErr w:type="spellEnd"/>
      <w:r w:rsidRPr="0086704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86704D">
        <w:rPr>
          <w:rFonts w:ascii="Arial Narrow" w:hAnsi="Arial Narrow"/>
          <w:sz w:val="26"/>
          <w:szCs w:val="26"/>
        </w:rPr>
        <w:t>Sabajanes</w:t>
      </w:r>
      <w:proofErr w:type="spellEnd"/>
      <w:r w:rsidRPr="0086704D">
        <w:rPr>
          <w:rFonts w:ascii="Arial Narrow" w:hAnsi="Arial Narrow"/>
          <w:sz w:val="26"/>
          <w:szCs w:val="26"/>
        </w:rPr>
        <w:t>.</w:t>
      </w:r>
    </w:p>
    <w:p w:rsidR="0086704D" w:rsidRPr="0086704D" w:rsidRDefault="0086704D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</w:p>
    <w:p w:rsidR="0086704D" w:rsidRP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  <w:r w:rsidRPr="0086704D">
        <w:rPr>
          <w:rFonts w:ascii="Arial Narrow" w:hAnsi="Arial Narrow"/>
          <w:sz w:val="26"/>
          <w:szCs w:val="26"/>
        </w:rPr>
        <w:t xml:space="preserve">El programa comenzará a las 18:30 horas con </w:t>
      </w:r>
      <w:r w:rsidRPr="0086704D">
        <w:rPr>
          <w:rFonts w:ascii="Arial Narrow" w:hAnsi="Arial Narrow"/>
          <w:i/>
          <w:iCs/>
          <w:sz w:val="26"/>
          <w:szCs w:val="26"/>
        </w:rPr>
        <w:t>El baile de Shakespeare</w:t>
      </w:r>
      <w:r w:rsidRPr="0086704D">
        <w:rPr>
          <w:rFonts w:ascii="Arial Narrow" w:hAnsi="Arial Narrow"/>
          <w:sz w:val="26"/>
          <w:szCs w:val="26"/>
        </w:rPr>
        <w:t xml:space="preserve">. A las 19:45, </w:t>
      </w:r>
      <w:r w:rsidR="0086704D">
        <w:rPr>
          <w:rFonts w:ascii="Arial Narrow" w:hAnsi="Arial Narrow"/>
          <w:sz w:val="26"/>
          <w:szCs w:val="26"/>
        </w:rPr>
        <w:t xml:space="preserve">prosigue con </w:t>
      </w:r>
      <w:r w:rsidRPr="0086704D">
        <w:rPr>
          <w:rFonts w:ascii="Arial Narrow" w:hAnsi="Arial Narrow"/>
          <w:sz w:val="26"/>
          <w:szCs w:val="26"/>
        </w:rPr>
        <w:t xml:space="preserve">la mojiganga </w:t>
      </w:r>
      <w:r w:rsidRPr="0086704D">
        <w:rPr>
          <w:rFonts w:ascii="Arial Narrow" w:hAnsi="Arial Narrow"/>
          <w:i/>
          <w:iCs/>
          <w:sz w:val="26"/>
          <w:szCs w:val="26"/>
        </w:rPr>
        <w:t>El pésame de la viuda</w:t>
      </w:r>
      <w:r w:rsidRPr="0086704D">
        <w:rPr>
          <w:rFonts w:ascii="Arial Narrow" w:hAnsi="Arial Narrow"/>
          <w:sz w:val="26"/>
          <w:szCs w:val="26"/>
        </w:rPr>
        <w:t xml:space="preserve">, de Calderón de la Barca, y la jornada culminará a las 20:00 horas con la representación de </w:t>
      </w:r>
      <w:r w:rsidRPr="0086704D">
        <w:rPr>
          <w:rFonts w:ascii="Arial Narrow" w:hAnsi="Arial Narrow"/>
          <w:i/>
          <w:iCs/>
          <w:sz w:val="26"/>
          <w:szCs w:val="26"/>
        </w:rPr>
        <w:t>Las mujeres sabias</w:t>
      </w:r>
      <w:r w:rsidR="0086704D">
        <w:rPr>
          <w:rFonts w:ascii="Arial Narrow" w:hAnsi="Arial Narrow"/>
          <w:sz w:val="26"/>
          <w:szCs w:val="26"/>
        </w:rPr>
        <w:t xml:space="preserve">, de </w:t>
      </w:r>
      <w:proofErr w:type="spellStart"/>
      <w:r w:rsidR="0086704D">
        <w:rPr>
          <w:rFonts w:ascii="Arial Narrow" w:hAnsi="Arial Narrow"/>
          <w:sz w:val="26"/>
          <w:szCs w:val="26"/>
        </w:rPr>
        <w:t>Molière</w:t>
      </w:r>
      <w:proofErr w:type="spellEnd"/>
      <w:r w:rsidR="0086704D">
        <w:rPr>
          <w:rFonts w:ascii="Arial Narrow" w:hAnsi="Arial Narrow"/>
          <w:sz w:val="26"/>
          <w:szCs w:val="26"/>
        </w:rPr>
        <w:t>, siendo l</w:t>
      </w:r>
      <w:r w:rsidRPr="0086704D">
        <w:rPr>
          <w:rFonts w:ascii="Arial Narrow" w:hAnsi="Arial Narrow"/>
          <w:sz w:val="26"/>
          <w:szCs w:val="26"/>
        </w:rPr>
        <w:t>a entrada será libre hasta completar el aforo.</w:t>
      </w:r>
    </w:p>
    <w:p w:rsidR="0086704D" w:rsidRPr="0086704D" w:rsidRDefault="0086704D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</w:p>
    <w:p w:rsidR="0086704D" w:rsidRP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  <w:r w:rsidRPr="0086704D">
        <w:rPr>
          <w:rFonts w:ascii="Arial Narrow" w:hAnsi="Arial Narrow"/>
          <w:sz w:val="26"/>
          <w:szCs w:val="26"/>
        </w:rPr>
        <w:t>Según señalan los directores</w:t>
      </w:r>
      <w:r w:rsidR="0086704D">
        <w:rPr>
          <w:rFonts w:ascii="Arial Narrow" w:hAnsi="Arial Narrow"/>
          <w:sz w:val="26"/>
          <w:szCs w:val="26"/>
        </w:rPr>
        <w:t xml:space="preserve"> de la puesta en escena</w:t>
      </w:r>
      <w:r w:rsidRPr="0086704D">
        <w:rPr>
          <w:rFonts w:ascii="Arial Narrow" w:hAnsi="Arial Narrow"/>
          <w:sz w:val="26"/>
          <w:szCs w:val="26"/>
        </w:rPr>
        <w:t>, el propósito de este encuentro es acercar los grandes textos del teatro universal al público general, demostrando que los clásicos siguen plenamente vigentes. Al mismo tiempo, la cita facilita el acceso a este tipo de obras y amplía la oferta cultural de la ciudad, contribuyendo a reforzar el vínculo entre la ciudadanía y las artes escénicas.</w:t>
      </w:r>
    </w:p>
    <w:p w:rsidR="0086704D" w:rsidRPr="0086704D" w:rsidRDefault="0086704D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</w:p>
    <w:p w:rsidR="00A21524" w:rsidRPr="0086704D" w:rsidRDefault="00A21524" w:rsidP="0086704D">
      <w:pPr>
        <w:ind w:left="142" w:right="140"/>
        <w:jc w:val="both"/>
        <w:rPr>
          <w:rFonts w:ascii="Arial Narrow" w:hAnsi="Arial Narrow"/>
          <w:sz w:val="26"/>
          <w:szCs w:val="26"/>
        </w:rPr>
      </w:pPr>
      <w:r w:rsidRPr="0086704D">
        <w:rPr>
          <w:rFonts w:ascii="Arial Narrow" w:hAnsi="Arial Narrow"/>
          <w:sz w:val="26"/>
          <w:szCs w:val="26"/>
        </w:rPr>
        <w:t>Asimismo, este acercamiento supone una oportunidad para redescubrir historias, personajes y temáticas que continúan reflejando inquietudes universales. Estas obras permiten disfrutar del teatro en su esencia, fomentando la reflexión y el diálogo cultural para hacer de cada representación una experiencia compartida.</w:t>
      </w:r>
    </w:p>
    <w:p w:rsidR="00A21524" w:rsidRPr="0086704D" w:rsidRDefault="00A21524" w:rsidP="007551D1">
      <w:pPr>
        <w:jc w:val="both"/>
        <w:rPr>
          <w:rFonts w:ascii="Arial Narrow" w:hAnsi="Arial Narrow"/>
          <w:color w:val="27251E"/>
          <w:sz w:val="26"/>
          <w:szCs w:val="26"/>
        </w:rPr>
      </w:pPr>
    </w:p>
    <w:p w:rsidR="00A21524" w:rsidRPr="0086704D" w:rsidRDefault="00A21524" w:rsidP="007551D1">
      <w:pPr>
        <w:jc w:val="both"/>
        <w:rPr>
          <w:rFonts w:ascii="Arial Narrow" w:hAnsi="Arial Narrow"/>
          <w:color w:val="27251E"/>
          <w:sz w:val="26"/>
          <w:szCs w:val="26"/>
        </w:rPr>
      </w:pPr>
    </w:p>
    <w:p w:rsidR="00A21524" w:rsidRPr="003B4804" w:rsidRDefault="00A21524" w:rsidP="007551D1">
      <w:pPr>
        <w:jc w:val="both"/>
        <w:rPr>
          <w:rFonts w:ascii="Arial Narrow" w:hAnsi="Arial Narrow"/>
          <w:color w:val="27251E"/>
          <w:sz w:val="26"/>
          <w:szCs w:val="26"/>
        </w:rPr>
      </w:pPr>
      <w:r>
        <w:rPr>
          <w:rFonts w:ascii="Arial Narrow" w:hAnsi="Arial Narrow"/>
          <w:color w:val="27251E"/>
          <w:sz w:val="26"/>
          <w:szCs w:val="26"/>
        </w:rPr>
        <w:t>(Se adjunta cartel)</w:t>
      </w:r>
    </w:p>
    <w:sectPr w:rsidR="00A21524" w:rsidRPr="003B4804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30" w:rsidRDefault="00981E30">
      <w:r>
        <w:separator/>
      </w:r>
    </w:p>
  </w:endnote>
  <w:endnote w:type="continuationSeparator" w:id="0">
    <w:p w:rsidR="00981E30" w:rsidRDefault="0098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30" w:rsidRDefault="00981E30">
      <w:r>
        <w:separator/>
      </w:r>
    </w:p>
  </w:footnote>
  <w:footnote w:type="continuationSeparator" w:id="0">
    <w:p w:rsidR="00981E30" w:rsidRDefault="0098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E" w:rsidRDefault="00D10D0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49E" w:rsidRDefault="00C14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37BE9"/>
    <w:multiLevelType w:val="hybridMultilevel"/>
    <w:tmpl w:val="BE12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E"/>
    <w:rsid w:val="001026B9"/>
    <w:rsid w:val="00197B0A"/>
    <w:rsid w:val="002120BB"/>
    <w:rsid w:val="002531CB"/>
    <w:rsid w:val="00267C87"/>
    <w:rsid w:val="00277AD2"/>
    <w:rsid w:val="00301987"/>
    <w:rsid w:val="0031300F"/>
    <w:rsid w:val="003811F3"/>
    <w:rsid w:val="003B4804"/>
    <w:rsid w:val="003E5C44"/>
    <w:rsid w:val="004A520D"/>
    <w:rsid w:val="005370B6"/>
    <w:rsid w:val="00550B4A"/>
    <w:rsid w:val="00570652"/>
    <w:rsid w:val="005A04F7"/>
    <w:rsid w:val="005B566C"/>
    <w:rsid w:val="005D6F84"/>
    <w:rsid w:val="00686542"/>
    <w:rsid w:val="00693927"/>
    <w:rsid w:val="006C7E6C"/>
    <w:rsid w:val="006E1008"/>
    <w:rsid w:val="006F2BC0"/>
    <w:rsid w:val="00722635"/>
    <w:rsid w:val="00730E05"/>
    <w:rsid w:val="00733AC0"/>
    <w:rsid w:val="007551D1"/>
    <w:rsid w:val="0082024E"/>
    <w:rsid w:val="008308D6"/>
    <w:rsid w:val="00844020"/>
    <w:rsid w:val="0086704D"/>
    <w:rsid w:val="008C1213"/>
    <w:rsid w:val="009257F0"/>
    <w:rsid w:val="00981E30"/>
    <w:rsid w:val="00A21524"/>
    <w:rsid w:val="00B13161"/>
    <w:rsid w:val="00B90F62"/>
    <w:rsid w:val="00C1449E"/>
    <w:rsid w:val="00C42C10"/>
    <w:rsid w:val="00C62735"/>
    <w:rsid w:val="00CA2FF3"/>
    <w:rsid w:val="00D10D08"/>
    <w:rsid w:val="00D20738"/>
    <w:rsid w:val="00D337B7"/>
    <w:rsid w:val="00D64361"/>
    <w:rsid w:val="00DB4B2C"/>
    <w:rsid w:val="00DE566F"/>
    <w:rsid w:val="00E15E36"/>
    <w:rsid w:val="00E57562"/>
    <w:rsid w:val="00E95BEF"/>
    <w:rsid w:val="00ED3584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5311-5B49-4AED-AF71-E3A1DBA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3Car1">
    <w:name w:val="Título 3 Car1"/>
    <w:basedOn w:val="Fuentedeprrafopredeter"/>
    <w:link w:val="Ttulo3"/>
    <w:uiPriority w:val="9"/>
    <w:semiHidden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rsid w:val="00570652"/>
  </w:style>
  <w:style w:type="character" w:customStyle="1" w:styleId="whitespace-normal">
    <w:name w:val="whitespace-normal"/>
    <w:basedOn w:val="Fuentedeprrafopredeter"/>
    <w:rsid w:val="0031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cp:lastPrinted>2026-04-07T11:16:00Z</cp:lastPrinted>
  <dcterms:created xsi:type="dcterms:W3CDTF">2026-05-06T10:40:00Z</dcterms:created>
  <dcterms:modified xsi:type="dcterms:W3CDTF">2026-05-06T10:40:00Z</dcterms:modified>
  <dc:language>es-ES</dc:language>
</cp:coreProperties>
</file>