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E1" w:rsidRDefault="008E034C">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 </w:t>
      </w:r>
    </w:p>
    <w:p w:rsidR="00EE3EE1" w:rsidRDefault="008E034C">
      <w:pPr>
        <w:rPr>
          <w:rFonts w:ascii="Arial Narrow" w:hAnsi="Arial Narrow"/>
          <w:sz w:val="40"/>
          <w:szCs w:val="40"/>
        </w:rPr>
      </w:pPr>
      <w:r>
        <w:rPr>
          <w:rFonts w:ascii="Arial Narrow" w:hAnsi="Arial Narrow"/>
          <w:b/>
          <w:bCs/>
          <w:color w:val="000000"/>
          <w:sz w:val="40"/>
          <w:szCs w:val="40"/>
        </w:rPr>
        <w:t>El Ayuntamiento impulsa la recuperación del antiguo casco bodeguero de la calle Rayón 3, adjudicado mediante venta forzosa</w:t>
      </w:r>
    </w:p>
    <w:p w:rsidR="00EE3EE1" w:rsidRDefault="00EE3EE1">
      <w:pPr>
        <w:rPr>
          <w:b/>
          <w:bCs/>
          <w:color w:val="000000"/>
        </w:rPr>
      </w:pPr>
    </w:p>
    <w:p w:rsidR="00EE3EE1" w:rsidRDefault="008E034C">
      <w:pPr>
        <w:rPr>
          <w:rFonts w:ascii="Arial Narrow" w:hAnsi="Arial Narrow"/>
          <w:sz w:val="32"/>
          <w:szCs w:val="32"/>
        </w:rPr>
      </w:pPr>
      <w:r>
        <w:rPr>
          <w:rFonts w:ascii="Arial Narrow" w:hAnsi="Arial Narrow"/>
          <w:color w:val="000000"/>
          <w:sz w:val="32"/>
          <w:szCs w:val="32"/>
        </w:rPr>
        <w:t xml:space="preserve">La tramitación, desde junio de 2023, de 12 expedientes de fincas sometidas a esta proceso “consolida el Registro Municipal de Solares como una herramienta eficaz para </w:t>
      </w:r>
      <w:r>
        <w:rPr>
          <w:rFonts w:ascii="Arial Narrow" w:eastAsia="Times New Roman" w:hAnsi="Arial Narrow" w:cs="Times New Roman"/>
          <w:color w:val="000000"/>
          <w:sz w:val="32"/>
          <w:szCs w:val="32"/>
          <w:lang w:eastAsia="es-ES_tradnl"/>
        </w:rPr>
        <w:t xml:space="preserve">favorecer la regeneración urbana e incentivar la inversión privada”, subraya Belén de la </w:t>
      </w:r>
      <w:r>
        <w:rPr>
          <w:rFonts w:ascii="Arial Narrow" w:eastAsia="Times New Roman" w:hAnsi="Arial Narrow" w:cs="Times New Roman"/>
          <w:color w:val="000000"/>
          <w:sz w:val="32"/>
          <w:szCs w:val="32"/>
          <w:lang w:eastAsia="es-ES_tradnl"/>
        </w:rPr>
        <w:t>Cuadra</w:t>
      </w:r>
    </w:p>
    <w:p w:rsidR="00EE3EE1" w:rsidRDefault="008E034C">
      <w:pPr>
        <w:spacing w:beforeAutospacing="1" w:afterAutospacing="1"/>
        <w:jc w:val="both"/>
        <w:rPr>
          <w:rFonts w:ascii="Arial Narrow" w:hAnsi="Arial Narrow"/>
        </w:rPr>
      </w:pPr>
      <w:r>
        <w:rPr>
          <w:rFonts w:ascii="Arial Narrow" w:eastAsia="Times New Roman" w:hAnsi="Arial Narrow" w:cs="Times New Roman"/>
          <w:b/>
          <w:bCs/>
          <w:color w:val="000000"/>
          <w:lang w:eastAsia="es-ES_tradnl"/>
        </w:rPr>
        <w:t>14 de mayo de 2026.</w:t>
      </w:r>
      <w:r>
        <w:rPr>
          <w:rFonts w:ascii="Arial Narrow" w:eastAsia="Times New Roman" w:hAnsi="Arial Narrow" w:cs="Times New Roman"/>
          <w:color w:val="000000"/>
          <w:lang w:eastAsia="es-ES_tradnl"/>
        </w:rPr>
        <w:t xml:space="preserve"> La Junta de Gobierno Local ha adjudicado la finca situada en la calle Rayón 3, sometida a procedimiento de venta forzosa, a la entidad Sonia </w:t>
      </w:r>
      <w:proofErr w:type="spellStart"/>
      <w:r>
        <w:rPr>
          <w:rFonts w:ascii="Arial Narrow" w:eastAsia="Times New Roman" w:hAnsi="Arial Narrow" w:cs="Times New Roman"/>
          <w:color w:val="000000"/>
          <w:lang w:eastAsia="es-ES_tradnl"/>
        </w:rPr>
        <w:t>Canarial</w:t>
      </w:r>
      <w:proofErr w:type="spellEnd"/>
      <w:r>
        <w:rPr>
          <w:rFonts w:ascii="Arial Narrow" w:eastAsia="Times New Roman" w:hAnsi="Arial Narrow" w:cs="Times New Roman"/>
          <w:color w:val="000000"/>
          <w:lang w:eastAsia="es-ES_tradnl"/>
        </w:rPr>
        <w:t xml:space="preserve"> 2011, S.L., por un importe de 134.000 euros. El inmueble salió a licitación el </w:t>
      </w:r>
      <w:r>
        <w:rPr>
          <w:rFonts w:ascii="Arial Narrow" w:eastAsia="Times New Roman" w:hAnsi="Arial Narrow" w:cs="Times New Roman"/>
          <w:color w:val="000000"/>
          <w:lang w:eastAsia="es-ES_tradnl"/>
        </w:rPr>
        <w:t>pasado mes de febrero con un precio inicial de 103.404,38 euros y un plazo de presentación de ofertas que permaneció abierto hasta el 16 de marzo.</w:t>
      </w:r>
    </w:p>
    <w:p w:rsidR="00EE3EE1" w:rsidRDefault="008E034C">
      <w:pPr>
        <w:spacing w:beforeAutospacing="1" w:afterAutospacing="1"/>
        <w:jc w:val="both"/>
        <w:rPr>
          <w:rFonts w:ascii="Arial Narrow" w:hAnsi="Arial Narrow"/>
        </w:rPr>
      </w:pPr>
      <w:r>
        <w:rPr>
          <w:rFonts w:ascii="Arial Narrow" w:eastAsia="Times New Roman" w:hAnsi="Arial Narrow" w:cs="Times New Roman"/>
          <w:color w:val="000000"/>
          <w:lang w:eastAsia="es-ES_tradnl"/>
        </w:rPr>
        <w:t>La finca, ubicada en el entorno de Madre de Dios, está incluida en el Registro Municipal de Solares y Edifica</w:t>
      </w:r>
      <w:r>
        <w:rPr>
          <w:rFonts w:ascii="Arial Narrow" w:eastAsia="Times New Roman" w:hAnsi="Arial Narrow" w:cs="Times New Roman"/>
          <w:color w:val="000000"/>
          <w:lang w:eastAsia="es-ES_tradnl"/>
        </w:rPr>
        <w:t>ciones Ruinosas y corresponde a un antiguo casco bodeguero del siglo XIX, contemplando una superficie de 1.065 metros cuadrados. Como ha recordado la delegada de Vivienda y Urbanismo, Belén de la Cuadra, se licitó por vez primera en el año 2021, quedando d</w:t>
      </w:r>
      <w:r>
        <w:rPr>
          <w:rFonts w:ascii="Arial Narrow" w:eastAsia="Times New Roman" w:hAnsi="Arial Narrow" w:cs="Times New Roman"/>
          <w:color w:val="000000"/>
          <w:lang w:eastAsia="es-ES_tradnl"/>
        </w:rPr>
        <w:t>esierta en aquella ocasión, “por lo que a principios de este año iniciamos una nueva convocatoria con el fin de ofrecer la oportunidad de recuperar para la ciudad este inmueble que se encuentra en estado de abandono</w:t>
      </w:r>
      <w:bookmarkStart w:id="0" w:name="_GoBack"/>
      <w:bookmarkEnd w:id="0"/>
      <w:r>
        <w:rPr>
          <w:rFonts w:ascii="Arial Narrow" w:eastAsia="Times New Roman" w:hAnsi="Arial Narrow" w:cs="Times New Roman"/>
          <w:color w:val="000000"/>
          <w:lang w:eastAsia="es-ES_tradnl"/>
        </w:rPr>
        <w:t xml:space="preserve"> y de favorecer nuevas inversiones priva</w:t>
      </w:r>
      <w:r>
        <w:rPr>
          <w:rFonts w:ascii="Arial Narrow" w:eastAsia="Times New Roman" w:hAnsi="Arial Narrow" w:cs="Times New Roman"/>
          <w:color w:val="000000"/>
          <w:lang w:eastAsia="es-ES_tradnl"/>
        </w:rPr>
        <w:t>das destinadas a su rehabilitación y puesta en uso, contribuyendo así a la revitalización del centro histórico”.</w:t>
      </w:r>
    </w:p>
    <w:p w:rsidR="00EE3EE1" w:rsidRDefault="008E034C">
      <w:pPr>
        <w:spacing w:beforeAutospacing="1" w:afterAutospacing="1"/>
        <w:jc w:val="both"/>
        <w:rPr>
          <w:rFonts w:ascii="Arial Narrow" w:hAnsi="Arial Narrow"/>
        </w:rPr>
      </w:pPr>
      <w:r>
        <w:rPr>
          <w:rFonts w:ascii="Arial Narrow" w:eastAsia="Times New Roman" w:hAnsi="Arial Narrow" w:cs="Times New Roman"/>
          <w:color w:val="000000"/>
          <w:lang w:eastAsia="es-ES_tradnl"/>
        </w:rPr>
        <w:t>La futura puesta en uso de la finca de Rayón 3 se enmarca dentro de las actuaciones impulsadas por el Ayuntamiento para la recuperación de inmu</w:t>
      </w:r>
      <w:r>
        <w:rPr>
          <w:rFonts w:ascii="Arial Narrow" w:eastAsia="Times New Roman" w:hAnsi="Arial Narrow" w:cs="Times New Roman"/>
          <w:color w:val="000000"/>
          <w:lang w:eastAsia="es-ES_tradnl"/>
        </w:rPr>
        <w:t>ebles degradados del centro histórico. “Y dentro de estas intervenciones – ha puntualizado Belén de la Cuadra -la reactivación  del Registro Municipal de Solares constituye una herramienta clave para favorecer la regeneración urbana y evitar situaciones de</w:t>
      </w:r>
      <w:r>
        <w:rPr>
          <w:rFonts w:ascii="Arial Narrow" w:eastAsia="Times New Roman" w:hAnsi="Arial Narrow" w:cs="Times New Roman"/>
          <w:color w:val="000000"/>
          <w:lang w:eastAsia="es-ES_tradnl"/>
        </w:rPr>
        <w:t xml:space="preserve"> deterioro del espacio público”. </w:t>
      </w:r>
    </w:p>
    <w:p w:rsidR="00EE3EE1" w:rsidRDefault="008E034C">
      <w:pPr>
        <w:spacing w:beforeAutospacing="1" w:afterAutospacing="1"/>
        <w:jc w:val="both"/>
        <w:rPr>
          <w:rFonts w:ascii="Arial Narrow" w:hAnsi="Arial Narrow"/>
        </w:rPr>
      </w:pPr>
      <w:r>
        <w:rPr>
          <w:rFonts w:ascii="Arial Narrow" w:eastAsia="Times New Roman" w:hAnsi="Arial Narrow" w:cs="Times New Roman"/>
          <w:color w:val="000000"/>
          <w:lang w:eastAsia="es-ES_tradnl"/>
        </w:rPr>
        <w:t xml:space="preserve">Desde esta perspectiva, el Gobierno local ha reforzado esta línea de actuación con la tramitación, desde junio de 2023, de 12 expedientes de venta forzosa para la puesta en el mercado de inmuebles abandonados incluidos en </w:t>
      </w:r>
      <w:r>
        <w:rPr>
          <w:rFonts w:ascii="Arial Narrow" w:eastAsia="Times New Roman" w:hAnsi="Arial Narrow" w:cs="Times New Roman"/>
          <w:color w:val="000000"/>
          <w:lang w:eastAsia="es-ES_tradnl"/>
        </w:rPr>
        <w:t>el Registro Municipal de Solares,  favoreciendo así la conservación del patrimonio arquitectónico y propiciando nuevas inversiones destinadas a usos residenciales y económicos, y todo ello, con el fin de seguir transformando el centro histórico en un espac</w:t>
      </w:r>
      <w:r>
        <w:rPr>
          <w:rFonts w:ascii="Arial Narrow" w:eastAsia="Times New Roman" w:hAnsi="Arial Narrow" w:cs="Times New Roman"/>
          <w:color w:val="000000"/>
          <w:lang w:eastAsia="es-ES_tradnl"/>
        </w:rPr>
        <w:t>io de oportunidades y de actividad, para vivir y disfrutar”.</w:t>
      </w:r>
    </w:p>
    <w:p w:rsidR="00EE3EE1" w:rsidRDefault="00EE3EE1">
      <w:pPr>
        <w:spacing w:beforeAutospacing="1" w:afterAutospacing="1"/>
        <w:jc w:val="both"/>
        <w:rPr>
          <w:rStyle w:val="Textoennegrita"/>
          <w:rFonts w:ascii="Arial Narrow" w:eastAsia="Times New Roman" w:hAnsi="Arial Narrow" w:cs="Times New Roman"/>
          <w:b w:val="0"/>
          <w:bCs w:val="0"/>
          <w:color w:val="000000"/>
          <w:szCs w:val="26"/>
          <w:lang w:eastAsia="es-ES_tradnl"/>
        </w:rPr>
      </w:pPr>
    </w:p>
    <w:sectPr w:rsidR="00EE3EE1">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E034C">
      <w:r>
        <w:separator/>
      </w:r>
    </w:p>
  </w:endnote>
  <w:endnote w:type="continuationSeparator" w:id="0">
    <w:p w:rsidR="00000000" w:rsidRDefault="008E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DejaVu San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E034C">
      <w:r>
        <w:separator/>
      </w:r>
    </w:p>
  </w:footnote>
  <w:footnote w:type="continuationSeparator" w:id="0">
    <w:p w:rsidR="00000000" w:rsidRDefault="008E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E1" w:rsidRDefault="00EE3E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E1" w:rsidRDefault="008E034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EE3EE1" w:rsidRDefault="00EE3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E1" w:rsidRDefault="008E034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EE3EE1" w:rsidRDefault="00EE3E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EE3EE1"/>
    <w:rsid w:val="008E034C"/>
    <w:rsid w:val="00EE3E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26A01-769F-4DE6-9BB1-4FF192D0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Ttulo"/>
    <w:qFormat/>
    <w:pPr>
      <w:outlineLvl w:val="4"/>
    </w:pPr>
    <w:rPr>
      <w:color w:val="2E74B5"/>
    </w:rPr>
  </w:style>
  <w:style w:type="paragraph" w:styleId="Ttulo6">
    <w:name w:val="heading 6"/>
    <w:basedOn w:val="Ttulo"/>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FootnoteTextChar">
    <w:name w:val="Footnote Text Char"/>
    <w:qFormat/>
    <w:rPr>
      <w:sz w:val="20"/>
      <w:szCs w:val="20"/>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0">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styleId="Textonotapie">
    <w:name w:val="footnote text"/>
    <w:basedOn w:val="Normal"/>
    <w:rPr>
      <w:sz w:val="20"/>
      <w:szCs w:val="20"/>
    </w:rPr>
  </w:style>
  <w:style w:type="paragraph" w:customStyle="1" w:styleId="StrongEmphasis">
    <w:name w:val="Strong Emphasis"/>
    <w:qFormat/>
    <w:rPr>
      <w:rFonts w:ascii="Times New Roman" w:eastAsia="NSimSun" w:hAnsi="Times New Roman" w:cs="Arial"/>
      <w:b/>
      <w:bCs/>
      <w:sz w:val="20"/>
      <w:szCs w:val="20"/>
      <w:lang w:eastAsia="zh-CN" w:bidi="hi-I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383</Words>
  <Characters>2108</Characters>
  <Application>Microsoft Office Word</Application>
  <DocSecurity>0</DocSecurity>
  <Lines>17</Lines>
  <Paragraphs>4</Paragraphs>
  <ScaleCrop>false</ScaleCrop>
  <Company>Aytojerez</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111</cp:revision>
  <cp:lastPrinted>2026-04-10T12:20:00Z</cp:lastPrinted>
  <dcterms:created xsi:type="dcterms:W3CDTF">2008-04-18T08:06:00Z</dcterms:created>
  <dcterms:modified xsi:type="dcterms:W3CDTF">2026-05-14T08:49:00Z</dcterms:modified>
  <dc:language>es-ES</dc:language>
</cp:coreProperties>
</file>