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hd w:val="clear" w:color="auto" w:fill="FFFFFF"/>
        <w:tabs>
          <w:tab w:val="clear" w:pos="708"/>
          <w:tab w:val="left" w:pos="729" w:leader="none"/>
        </w:tabs>
        <w:spacing w:lineRule="auto" w:line="240"/>
        <w:rPr/>
      </w:pPr>
      <w:r>
        <w:rPr>
          <w:rStyle w:val="Strong"/>
          <w:rFonts w:eastAsia="Arial" w:cs="Arial Narrow" w:ascii="Arial Narrow" w:hAnsi="Arial Narrow"/>
          <w:sz w:val="40"/>
          <w:szCs w:val="40"/>
          <w:lang w:eastAsia="es-ES_tradnl"/>
        </w:rPr>
        <w:t xml:space="preserve"> </w:t>
      </w:r>
    </w:p>
    <w:p>
      <w:pPr>
        <w:pStyle w:val="Normal"/>
        <w:spacing w:lineRule="auto" w:line="240"/>
        <w:jc w:val="left"/>
        <w:rPr>
          <w:rFonts w:ascii="Arial Narrow" w:hAnsi="Arial Narrow"/>
          <w:sz w:val="40"/>
          <w:szCs w:val="40"/>
        </w:rPr>
      </w:pPr>
      <w:r>
        <w:rPr>
          <w:rFonts w:ascii="Arial Narrow" w:hAnsi="Arial Narrow"/>
          <w:b/>
          <w:bCs/>
          <w:color w:val="000000"/>
          <w:sz w:val="40"/>
          <w:szCs w:val="40"/>
        </w:rPr>
        <w:t>El Ayuntamiento se adhiere a la Red Española de Capitales de la Cultura para visibilizar su compromiso con la promoción y la innovación cultural y potenciar la cooperación institucional</w:t>
      </w:r>
    </w:p>
    <w:p>
      <w:pPr>
        <w:pStyle w:val="Normal"/>
        <w:spacing w:lineRule="auto" w:line="240"/>
        <w:jc w:val="left"/>
        <w:rPr>
          <w:b/>
          <w:bCs/>
          <w:color w:val="000000"/>
        </w:rPr>
      </w:pPr>
      <w:r>
        <w:rPr>
          <w:b/>
          <w:bCs/>
          <w:color w:val="000000"/>
        </w:rPr>
      </w:r>
    </w:p>
    <w:p>
      <w:pPr>
        <w:pStyle w:val="Normal"/>
        <w:spacing w:lineRule="auto" w:line="240" w:beforeAutospacing="1" w:afterAutospacing="1"/>
        <w:jc w:val="both"/>
        <w:rPr/>
      </w:pPr>
      <w:r>
        <w:rPr>
          <w:rFonts w:eastAsia="Times New Roman" w:cs="Times New Roman" w:ascii="Arial Narrow" w:hAnsi="Arial Narrow"/>
          <w:b/>
          <w:bCs/>
          <w:color w:val="000000"/>
          <w:kern w:val="0"/>
          <w:sz w:val="26"/>
          <w:szCs w:val="26"/>
          <w:lang w:eastAsia="es-ES_tradnl"/>
          <w14:ligatures w14:val="none"/>
        </w:rPr>
        <w:t>18</w:t>
      </w:r>
      <w:r>
        <w:rPr>
          <w:rFonts w:eastAsia="Times New Roman" w:cs="Times New Roman" w:ascii="Arial Narrow" w:hAnsi="Arial Narrow"/>
          <w:b/>
          <w:bCs/>
          <w:color w:val="000000"/>
          <w:kern w:val="0"/>
          <w:sz w:val="26"/>
          <w:szCs w:val="26"/>
          <w:lang w:eastAsia="es-ES_tradnl"/>
          <w14:ligatures w14:val="none"/>
        </w:rPr>
        <w:t xml:space="preserve"> de mayo de 2026.</w:t>
      </w:r>
      <w:r>
        <w:rPr>
          <w:rFonts w:eastAsia="Times New Roman" w:cs="Times New Roman" w:ascii="Arial Narrow" w:hAnsi="Arial Narrow"/>
          <w:color w:val="000000"/>
          <w:kern w:val="0"/>
          <w:sz w:val="26"/>
          <w:szCs w:val="26"/>
          <w:lang w:eastAsia="es-ES_tradnl"/>
          <w14:ligatures w14:val="none"/>
        </w:rPr>
        <w:t xml:space="preserve"> La Junta de Gobierno Local ha aprobado</w:t>
      </w:r>
      <w:r>
        <w:rPr>
          <w:rFonts w:cs="Century Gothic" w:ascii="Arial Narrow" w:hAnsi="Arial Narrow"/>
          <w:sz w:val="26"/>
          <w:szCs w:val="26"/>
        </w:rPr>
        <w:t xml:space="preserve"> la adhesión del  Ayuntamiento de Jerez a la Red Española de Capitales de la Cultura para reforzar su compromiso de impulsar actuaciones que contribuyan al fortalecimiento del ecosistema cultural local, de acuerdo con los objetivos de la citada Red, incluyendo la promoción cultural, la participación ciudadana, la innovación cultural, la cooperación institucional y la proyección nacional e internacional del municipio.</w:t>
      </w:r>
    </w:p>
    <w:p>
      <w:pPr>
        <w:pStyle w:val="Normal"/>
        <w:tabs>
          <w:tab w:val="clear" w:pos="708"/>
          <w:tab w:val="left" w:pos="0" w:leader="none"/>
          <w:tab w:val="left" w:pos="2835" w:leader="none"/>
          <w:tab w:val="right" w:pos="6120" w:leader="none"/>
          <w:tab w:val="center" w:pos="8100" w:leader="none"/>
          <w:tab w:val="right" w:pos="10080" w:leader="none"/>
        </w:tabs>
        <w:spacing w:lineRule="auto" w:line="240"/>
        <w:jc w:val="both"/>
        <w:rPr>
          <w:rFonts w:ascii="Arial Narrow" w:hAnsi="Arial Narrow" w:cs="Century Gothic"/>
          <w:sz w:val="26"/>
          <w:szCs w:val="26"/>
          <w:lang w:eastAsia="es-ES"/>
        </w:rPr>
      </w:pPr>
      <w:r>
        <w:rPr>
          <w:rFonts w:cs="Century Gothic" w:ascii="Arial Narrow" w:hAnsi="Arial Narrow"/>
          <w:sz w:val="26"/>
          <w:szCs w:val="26"/>
          <w:lang w:eastAsia="es-ES"/>
        </w:rPr>
        <w:t>La Red Española de Capitales de la Cultura, constituida en el marco del Artículo 44 de los Estatutos de la Federación Española de Municipios y Provincias (FEMP), agrupa a los Gobiernos Locales que desean impulsar un modelo estratégico de desarrollo cultural, reforzar la cooperación territorial y dar visibilidad al compromiso municipal con la cultura como motor de desarrollo urbano, cohesión social e innovación.</w:t>
      </w:r>
    </w:p>
    <w:p>
      <w:pPr>
        <w:pStyle w:val="Normal"/>
        <w:spacing w:lineRule="auto" w:line="240"/>
        <w:jc w:val="both"/>
        <w:rPr>
          <w:rFonts w:ascii="Arial Narrow" w:hAnsi="Arial Narrow" w:cs="Century Gothic"/>
          <w:sz w:val="26"/>
          <w:szCs w:val="26"/>
        </w:rPr>
      </w:pPr>
      <w:r>
        <w:rPr>
          <w:rFonts w:cs="Century Gothic" w:ascii="Arial Narrow" w:hAnsi="Arial Narrow"/>
          <w:sz w:val="26"/>
          <w:szCs w:val="26"/>
        </w:rPr>
      </w:r>
    </w:p>
    <w:p>
      <w:pPr>
        <w:pStyle w:val="Normal"/>
        <w:spacing w:lineRule="auto" w:line="240"/>
        <w:jc w:val="both"/>
        <w:rPr>
          <w:rFonts w:ascii="Arial Narrow" w:hAnsi="Arial Narrow" w:cs="Century Gothic"/>
          <w:sz w:val="26"/>
          <w:szCs w:val="26"/>
        </w:rPr>
      </w:pPr>
      <w:r>
        <w:rPr>
          <w:rFonts w:cs="Century Gothic" w:ascii="Arial Narrow" w:hAnsi="Arial Narrow"/>
          <w:sz w:val="26"/>
          <w:szCs w:val="26"/>
        </w:rPr>
        <w:t>En este sentido, la Red tiene como finalidad defender, promover y fortalecer el papel de las ciudades en el ámbito cultural, garantizando la continuidad del impulso cultural municipal y el retorno al esfuerzo técnico, económico y de participación social realizado por las Entidades Locales, así como mejorar su posicionamiento nacional e internacional.</w:t>
      </w:r>
    </w:p>
    <w:p>
      <w:pPr>
        <w:pStyle w:val="Normal"/>
        <w:spacing w:lineRule="auto" w:line="240"/>
        <w:jc w:val="both"/>
        <w:rPr>
          <w:rFonts w:ascii="Arial Narrow" w:hAnsi="Arial Narrow" w:cs="Century Gothic"/>
          <w:sz w:val="26"/>
          <w:szCs w:val="26"/>
        </w:rPr>
      </w:pPr>
      <w:r>
        <w:rPr>
          <w:rFonts w:cs="Century Gothic" w:ascii="Arial Narrow" w:hAnsi="Arial Narrow"/>
          <w:sz w:val="26"/>
          <w:szCs w:val="26"/>
        </w:rPr>
      </w:r>
    </w:p>
    <w:p>
      <w:pPr>
        <w:pStyle w:val="Normal"/>
        <w:spacing w:lineRule="auto" w:line="240"/>
        <w:jc w:val="both"/>
        <w:rPr>
          <w:rFonts w:ascii="Arial Narrow" w:hAnsi="Arial Narrow" w:cs="Century Gothic"/>
          <w:sz w:val="26"/>
          <w:szCs w:val="26"/>
        </w:rPr>
      </w:pPr>
      <w:r>
        <w:rPr>
          <w:rFonts w:cs="Century Gothic" w:ascii="Arial Narrow" w:hAnsi="Arial Narrow"/>
          <w:sz w:val="26"/>
          <w:szCs w:val="26"/>
        </w:rPr>
        <w:t>La actividad de esta Red está dirigida a favorecer la coordinación, cooperación e intercambio de experiencias entre las Entidades Locales, reforzar su papel en la planificación y gestión de políticas culturales, impulsar estrategias comunes en materia de innovación cultural, gobernanza participativa y cultura urbana, así como mejorar la visibilidad institucional del conjunto de ciudades españolas.</w:t>
      </w:r>
    </w:p>
    <w:p>
      <w:pPr>
        <w:pStyle w:val="Normal"/>
        <w:spacing w:lineRule="auto" w:line="240"/>
        <w:jc w:val="both"/>
        <w:rPr>
          <w:rFonts w:cs="Century Gothic"/>
        </w:rPr>
      </w:pPr>
      <w:r>
        <w:rPr>
          <w:rFonts w:cs="Century Gothic"/>
        </w:rPr>
      </w:r>
    </w:p>
    <w:p>
      <w:pPr>
        <w:pStyle w:val="Normal"/>
        <w:tabs>
          <w:tab w:val="clear" w:pos="708"/>
          <w:tab w:val="left" w:pos="0" w:leader="none"/>
          <w:tab w:val="left" w:pos="2835" w:leader="none"/>
          <w:tab w:val="right" w:pos="6120" w:leader="none"/>
          <w:tab w:val="center" w:pos="8100" w:leader="none"/>
          <w:tab w:val="right" w:pos="10080" w:leader="none"/>
        </w:tabs>
        <w:spacing w:lineRule="auto" w:line="240"/>
        <w:jc w:val="both"/>
        <w:rPr>
          <w:rFonts w:ascii="Arial Narrow" w:hAnsi="Arial Narrow" w:cs="Century Gothic"/>
          <w:sz w:val="26"/>
          <w:szCs w:val="26"/>
          <w:lang w:eastAsia="es-ES"/>
        </w:rPr>
      </w:pPr>
      <w:r>
        <w:rPr>
          <w:rFonts w:cs="Century Gothic" w:ascii="Arial Narrow" w:hAnsi="Arial Narrow"/>
          <w:sz w:val="26"/>
          <w:szCs w:val="26"/>
          <w:lang w:eastAsia="es-ES"/>
        </w:rPr>
        <w:t>Asimismo, la Red constituye un instrumento operativo para articular una estrategia conjunta con el Ministerio de Cultura y las instituciones europeas, especialmente en el marco de iniciativas como la Capital Europea de la Cultura, y para generar un legado estructural en materia cultural que contribuya al desarrollo sostenible de las ciudades.</w:t>
      </w:r>
    </w:p>
    <w:p>
      <w:pPr>
        <w:pStyle w:val="Normal"/>
        <w:tabs>
          <w:tab w:val="clear" w:pos="708"/>
          <w:tab w:val="left" w:pos="0" w:leader="none"/>
          <w:tab w:val="left" w:pos="2835" w:leader="none"/>
          <w:tab w:val="right" w:pos="6120" w:leader="none"/>
          <w:tab w:val="center" w:pos="8100" w:leader="none"/>
          <w:tab w:val="right" w:pos="10080" w:leader="none"/>
        </w:tabs>
        <w:spacing w:lineRule="auto" w:line="240"/>
        <w:jc w:val="both"/>
        <w:rPr>
          <w:rFonts w:ascii="Arial Narrow" w:hAnsi="Arial Narrow" w:cs="Century Gothic"/>
          <w:sz w:val="26"/>
          <w:szCs w:val="26"/>
        </w:rPr>
      </w:pPr>
      <w:r>
        <w:rPr>
          <w:rFonts w:cs="Century Gothic" w:ascii="Arial Narrow" w:hAnsi="Arial Narrow"/>
          <w:sz w:val="26"/>
          <w:szCs w:val="26"/>
        </w:rPr>
      </w:r>
    </w:p>
    <w:p>
      <w:pPr>
        <w:pStyle w:val="Normal"/>
        <w:tabs>
          <w:tab w:val="clear" w:pos="708"/>
          <w:tab w:val="left" w:pos="0" w:leader="none"/>
          <w:tab w:val="left" w:pos="2835" w:leader="none"/>
          <w:tab w:val="right" w:pos="6120" w:leader="none"/>
          <w:tab w:val="center" w:pos="8100" w:leader="none"/>
          <w:tab w:val="right" w:pos="10080" w:leader="none"/>
        </w:tabs>
        <w:spacing w:lineRule="auto" w:line="240"/>
        <w:jc w:val="both"/>
        <w:rPr>
          <w:rFonts w:ascii="Arial Narrow" w:hAnsi="Arial Narrow" w:cs="Century Gothic"/>
          <w:sz w:val="26"/>
          <w:szCs w:val="26"/>
        </w:rPr>
      </w:pPr>
      <w:r>
        <w:rPr>
          <w:rFonts w:cs="Century Gothic" w:ascii="Arial Narrow" w:hAnsi="Arial Narrow"/>
          <w:b/>
          <w:bCs/>
          <w:sz w:val="26"/>
          <w:szCs w:val="26"/>
        </w:rPr>
        <w:t>Beneficios de unirse a esta Red</w:t>
      </w:r>
    </w:p>
    <w:p>
      <w:pPr>
        <w:pStyle w:val="Normal"/>
        <w:tabs>
          <w:tab w:val="clear" w:pos="708"/>
          <w:tab w:val="left" w:pos="0" w:leader="none"/>
          <w:tab w:val="left" w:pos="2835" w:leader="none"/>
          <w:tab w:val="right" w:pos="6120" w:leader="none"/>
          <w:tab w:val="center" w:pos="8100" w:leader="none"/>
          <w:tab w:val="right" w:pos="10080" w:leader="none"/>
        </w:tabs>
        <w:spacing w:lineRule="auto" w:line="240"/>
        <w:jc w:val="both"/>
        <w:rPr>
          <w:rFonts w:ascii="Arial Narrow" w:hAnsi="Arial Narrow" w:cs="Century Gothic"/>
          <w:sz w:val="26"/>
          <w:szCs w:val="26"/>
        </w:rPr>
      </w:pPr>
      <w:r>
        <w:rPr>
          <w:rFonts w:cs="Century Gothic" w:ascii="Arial Narrow" w:hAnsi="Arial Narrow"/>
          <w:sz w:val="26"/>
          <w:szCs w:val="26"/>
        </w:rPr>
      </w:r>
    </w:p>
    <w:p>
      <w:pPr>
        <w:pStyle w:val="Normal"/>
        <w:tabs>
          <w:tab w:val="clear" w:pos="708"/>
          <w:tab w:val="left" w:pos="0" w:leader="none"/>
          <w:tab w:val="left" w:pos="2835" w:leader="none"/>
          <w:tab w:val="right" w:pos="6120" w:leader="none"/>
          <w:tab w:val="center" w:pos="8100" w:leader="none"/>
          <w:tab w:val="right" w:pos="10080" w:leader="none"/>
        </w:tabs>
        <w:spacing w:lineRule="auto" w:line="240"/>
        <w:jc w:val="both"/>
        <w:rPr>
          <w:rFonts w:ascii="Arial Narrow" w:hAnsi="Arial Narrow"/>
          <w:sz w:val="26"/>
          <w:szCs w:val="26"/>
        </w:rPr>
      </w:pPr>
      <w:r>
        <w:rPr>
          <w:rFonts w:cs="Century Gothic" w:ascii="Arial Narrow" w:hAnsi="Arial Narrow"/>
          <w:sz w:val="26"/>
          <w:szCs w:val="26"/>
        </w:rPr>
        <w:t xml:space="preserve">Con la adhesión a esta iniciativa, el Ayuntamiento obtiene una serie de beneficios, entre los que figuran el acceso </w:t>
      </w:r>
      <w:r>
        <w:rPr>
          <w:rFonts w:cs="Century Gothic" w:ascii="Arial Narrow" w:hAnsi="Arial Narrow"/>
          <w:color w:val="000000"/>
          <w:sz w:val="26"/>
          <w:szCs w:val="26"/>
        </w:rPr>
        <w:t>a un espacio de cooperación directa para compartir experiencias en gestión cultural, programación, participación ciudadana e innovación urbana; la integración en una agenda común de trabajo, con encuentros técnicos, proyectos compartidos y posicionamientos estratégicos; el fortalecimiento de su posicionamiento cultural y la posibilidad de participar en una representación conjunta ante el Gobierno de España, el Ministerio de Cultura y las instituciones europeas.</w:t>
      </w:r>
    </w:p>
    <w:p>
      <w:pPr>
        <w:pStyle w:val="Normal"/>
        <w:tabs>
          <w:tab w:val="clear" w:pos="708"/>
          <w:tab w:val="left" w:pos="0" w:leader="none"/>
          <w:tab w:val="left" w:pos="2835" w:leader="none"/>
          <w:tab w:val="right" w:pos="6120" w:leader="none"/>
          <w:tab w:val="center" w:pos="8100" w:leader="none"/>
          <w:tab w:val="right" w:pos="10080" w:leader="none"/>
        </w:tabs>
        <w:spacing w:lineRule="auto" w:line="240"/>
        <w:jc w:val="both"/>
        <w:rPr>
          <w:rFonts w:cs="Century Gothic"/>
          <w:color w:val="000000"/>
        </w:rPr>
      </w:pPr>
      <w:r>
        <w:rPr>
          <w:rFonts w:cs="Century Gothic"/>
          <w:color w:val="000000"/>
        </w:rPr>
      </w:r>
    </w:p>
    <w:p>
      <w:pPr>
        <w:pStyle w:val="Normal"/>
        <w:tabs>
          <w:tab w:val="clear" w:pos="708"/>
          <w:tab w:val="left" w:pos="0" w:leader="none"/>
          <w:tab w:val="left" w:pos="2835" w:leader="none"/>
          <w:tab w:val="right" w:pos="6120" w:leader="none"/>
          <w:tab w:val="center" w:pos="8100" w:leader="none"/>
          <w:tab w:val="right" w:pos="10080" w:leader="none"/>
        </w:tabs>
        <w:spacing w:lineRule="auto" w:line="240"/>
        <w:jc w:val="both"/>
        <w:rPr>
          <w:rFonts w:ascii="Arial Narrow" w:hAnsi="Arial Narrow"/>
          <w:sz w:val="26"/>
          <w:szCs w:val="26"/>
        </w:rPr>
      </w:pPr>
      <w:r>
        <w:rPr>
          <w:rFonts w:cs="Century Gothic" w:ascii="Arial Narrow" w:hAnsi="Arial Narrow"/>
          <w:color w:val="000000"/>
          <w:sz w:val="26"/>
          <w:szCs w:val="26"/>
        </w:rPr>
        <w:t>Igualmente, la integración en esta Red posibilitará al Ayuntamiento reforzar  su visibilidad de compromiso cultural, tanto a nivel nacional como internacional, así como impulsar proyectos de innovación cultural, digitalización y participación social, con enfoque en sostenibilidad y gobernanza.</w:t>
      </w:r>
    </w:p>
    <w:p>
      <w:pPr>
        <w:pStyle w:val="Normal"/>
        <w:tabs>
          <w:tab w:val="clear" w:pos="708"/>
          <w:tab w:val="left" w:pos="735" w:leader="none"/>
          <w:tab w:val="right" w:pos="6120" w:leader="none"/>
          <w:tab w:val="center" w:pos="8100" w:leader="none"/>
          <w:tab w:val="right" w:pos="10080" w:leader="none"/>
        </w:tabs>
        <w:spacing w:lineRule="auto" w:line="240"/>
        <w:ind w:hanging="0" w:left="283" w:right="0"/>
        <w:jc w:val="both"/>
        <w:rPr>
          <w:rFonts w:ascii="Century Gothic" w:hAnsi="Century Gothic" w:cs="Century Gothic"/>
          <w:color w:val="000000"/>
          <w:sz w:val="22"/>
          <w:szCs w:val="22"/>
        </w:rPr>
      </w:pPr>
      <w:r>
        <w:rPr>
          <w:rFonts w:cs="Century Gothic" w:ascii="Century Gothic" w:hAnsi="Century Gothic"/>
          <w:color w:val="000000"/>
          <w:sz w:val="22"/>
          <w:szCs w:val="22"/>
        </w:rPr>
      </w:r>
    </w:p>
    <w:p>
      <w:pPr>
        <w:pStyle w:val="Normal"/>
        <w:tabs>
          <w:tab w:val="clear" w:pos="708"/>
          <w:tab w:val="left" w:pos="0" w:leader="none"/>
          <w:tab w:val="left" w:pos="2835" w:leader="none"/>
          <w:tab w:val="right" w:pos="6120" w:leader="none"/>
          <w:tab w:val="center" w:pos="8100" w:leader="none"/>
          <w:tab w:val="right" w:pos="10080" w:leader="none"/>
        </w:tabs>
        <w:spacing w:lineRule="auto" w:line="240"/>
        <w:jc w:val="both"/>
        <w:rPr>
          <w:rFonts w:ascii="Century Gothic" w:hAnsi="Century Gothic" w:cs="Century Gothic"/>
          <w:sz w:val="22"/>
          <w:szCs w:val="22"/>
        </w:rPr>
      </w:pPr>
      <w:r>
        <w:rPr>
          <w:rFonts w:cs="Century Gothic" w:ascii="Century Gothic" w:hAnsi="Century Gothic"/>
          <w:sz w:val="22"/>
          <w:szCs w:val="22"/>
        </w:rPr>
      </w:r>
    </w:p>
    <w:p>
      <w:pPr>
        <w:pStyle w:val="Normal"/>
        <w:tabs>
          <w:tab w:val="clear" w:pos="708"/>
          <w:tab w:val="left" w:pos="0" w:leader="none"/>
          <w:tab w:val="right" w:pos="6120" w:leader="none"/>
          <w:tab w:val="center" w:pos="8100" w:leader="none"/>
          <w:tab w:val="right" w:pos="10080" w:leader="none"/>
        </w:tabs>
        <w:spacing w:lineRule="auto" w:line="240"/>
        <w:jc w:val="both"/>
        <w:rPr>
          <w:rFonts w:ascii="Century Gothic" w:hAnsi="Century Gothic" w:cs="Century Gothic"/>
          <w:sz w:val="22"/>
          <w:szCs w:val="22"/>
        </w:rPr>
      </w:pPr>
      <w:r>
        <w:rPr>
          <w:rFonts w:cs="Century Gothic" w:ascii="Century Gothic" w:hAnsi="Century Gothic"/>
          <w:sz w:val="22"/>
          <w:szCs w:val="22"/>
        </w:rPr>
      </w:r>
    </w:p>
    <w:p>
      <w:pPr>
        <w:pStyle w:val="Normal"/>
        <w:tabs>
          <w:tab w:val="clear" w:pos="708"/>
          <w:tab w:val="left" w:pos="0" w:leader="none"/>
          <w:tab w:val="right" w:pos="6120" w:leader="none"/>
          <w:tab w:val="center" w:pos="8100" w:leader="none"/>
          <w:tab w:val="right" w:pos="10080" w:leader="none"/>
        </w:tabs>
        <w:spacing w:lineRule="auto" w:line="240"/>
        <w:jc w:val="both"/>
        <w:rPr>
          <w:rStyle w:val="Strong"/>
          <w:rFonts w:ascii="Century Gothic" w:hAnsi="Century Gothic" w:eastAsia="Times New Roman" w:cs="Century Gothic"/>
          <w:b w:val="false"/>
          <w:bCs w:val="false"/>
          <w:i w:val="false"/>
          <w:i w:val="false"/>
          <w:caps w:val="false"/>
          <w:smallCaps w:val="false"/>
          <w:color w:val="000000"/>
          <w:spacing w:val="0"/>
          <w:kern w:val="0"/>
          <w:sz w:val="22"/>
          <w:szCs w:val="22"/>
          <w:lang w:eastAsia="es-ES"/>
          <w14:ligatures w14:val="none"/>
        </w:rPr>
      </w:pPr>
      <w:r>
        <w:rPr>
          <w:rFonts w:eastAsia="Times New Roman" w:cs="Century Gothic" w:ascii="Century Gothic" w:hAnsi="Century Gothic"/>
          <w:b w:val="false"/>
          <w:bCs w:val="false"/>
          <w:i w:val="false"/>
          <w:caps w:val="false"/>
          <w:smallCaps w:val="false"/>
          <w:color w:val="000000"/>
          <w:spacing w:val="0"/>
          <w:kern w:val="0"/>
          <w:sz w:val="22"/>
          <w:szCs w:val="22"/>
          <w:lang w:eastAsia="es-ES"/>
          <w14:ligatures w14:val="none"/>
        </w:rPr>
      </w:r>
    </w:p>
    <w:sectPr>
      <w:headerReference w:type="even" r:id="rId2"/>
      <w:headerReference w:type="default" r:id="rId3"/>
      <w:headerReference w:type="first" r:id="rId4"/>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Tahoma">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Wingdings">
    <w:charset w:val="00"/>
    <w:family w:val="roman"/>
    <w:pitch w:val="variable"/>
  </w:font>
  <w:font w:name="Symbol">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Liberation Sans">
    <w:altName w:val="Arial"/>
    <w:charset w:val="00"/>
    <w:family w:val="roman"/>
    <w:pitch w:val="variable"/>
  </w:font>
  <w:font w:name="Century Gothic">
    <w:charset w:val="00"/>
    <w:family w:val="roman"/>
    <w:pitch w:val="variable"/>
  </w:font>
  <w:font w:name="Liberation Mono">
    <w:altName w:val="Courier New"/>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36713" t="0" r="-5"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rcRect l="36713" t="0" r="-5"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40"/>
  <w:defaultTabStop w:val="708"/>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3">
    <w:name w:val="Heading 3"/>
    <w:basedOn w:val="Normal"/>
    <w:next w:val="Normal"/>
    <w:qFormat/>
    <w:pPr>
      <w:keepNext w:val="true"/>
      <w:keepLines/>
      <w:spacing w:before="40" w:after="0"/>
      <w:outlineLvl w:val="2"/>
    </w:pPr>
    <w:rPr>
      <w:rFonts w:ascii="Arial" w:hAnsi="Arial" w:eastAsia="DejaVu Sans" w:cs="DejaVu Sans"/>
      <w:color w:themeColor="accent1" w:themeShade="7f" w:val="0B5101"/>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paragraph" w:styleId="Heading5">
    <w:name w:val="Heading 5"/>
    <w:basedOn w:val="Ttulo"/>
    <w:qFormat/>
    <w:pPr/>
    <w:rPr>
      <w:color w:val="2E74B5"/>
    </w:rPr>
  </w:style>
  <w:style w:type="paragraph" w:styleId="Heading6">
    <w:name w:val="Heading 6"/>
    <w:basedOn w:val="Ttulo"/>
    <w:qFormat/>
    <w:pPr/>
    <w:rPr>
      <w:color w:val="1F4D78"/>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extoindependienteCar" w:customStyle="1">
    <w:name w:val="Texto independiente Car"/>
    <w:qFormat/>
    <w:rPr>
      <w:rFonts w:ascii="Tahoma" w:hAnsi="Tahoma" w:eastAsia="Times New Roman" w:cs="Tahoma"/>
      <w:color w:val="000000"/>
      <w:szCs w:val="24"/>
    </w:rPr>
  </w:style>
  <w:style w:type="character" w:styleId="TextodegloboCar2" w:customStyle="1">
    <w:name w:val="Texto de globo Car2"/>
    <w:qFormat/>
    <w:rPr>
      <w:rFonts w:ascii="Segoe UI" w:hAnsi="Segoe UI" w:eastAsia="Times New Roman" w:cs="Segoe UI"/>
      <w:color w:val="000000"/>
      <w:sz w:val="18"/>
      <w:szCs w:val="18"/>
    </w:rPr>
  </w:style>
  <w:style w:type="character" w:styleId="TextodegloboCar1" w:customStyle="1">
    <w:name w:val="Texto de globo Car1"/>
    <w:qFormat/>
    <w:rPr>
      <w:rFonts w:ascii="Segoe UI" w:hAnsi="Segoe UI" w:cs="Segoe UI"/>
      <w:kern w:val="2"/>
      <w:sz w:val="18"/>
      <w:szCs w:val="18"/>
      <w:lang w:eastAsia="zh-CN"/>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TextodegloboCar" w:customStyle="1">
    <w:name w:val="Texto de globo Car"/>
    <w:qFormat/>
    <w:rPr>
      <w:rFonts w:ascii="Segoe UI" w:hAnsi="Segoe UI" w:cs="Segoe UI"/>
      <w:sz w:val="18"/>
      <w:szCs w:val="18"/>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Textoennegrita1" w:customStyle="1">
    <w:name w:val="Texto en negrita1"/>
    <w:qFormat/>
    <w:rPr>
      <w:b/>
      <w:bCs/>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Citation-92" w:customStyle="1">
    <w:name w:val="citation-92"/>
    <w:basedOn w:val="DefaultParagraphFont"/>
    <w:qFormat/>
    <w:rPr/>
  </w:style>
  <w:style w:type="character" w:styleId="Citation-93" w:customStyle="1">
    <w:name w:val="citation-93"/>
    <w:basedOn w:val="DefaultParagraphFont"/>
    <w:qFormat/>
    <w:rPr/>
  </w:style>
  <w:style w:type="character" w:styleId="Citation-94" w:customStyle="1">
    <w:name w:val="citation-94"/>
    <w:basedOn w:val="DefaultParagraphFont"/>
    <w:qFormat/>
    <w:rPr/>
  </w:style>
  <w:style w:type="character" w:styleId="Citation-95" w:customStyle="1">
    <w:name w:val="citation-95"/>
    <w:basedOn w:val="DefaultParagraphFont"/>
    <w:qFormat/>
    <w:rPr/>
  </w:style>
  <w:style w:type="character" w:styleId="Citation-96" w:customStyle="1">
    <w:name w:val="citation-96"/>
    <w:basedOn w:val="DefaultParagraphFont"/>
    <w:qFormat/>
    <w:rPr/>
  </w:style>
  <w:style w:type="character" w:styleId="Citation-97" w:customStyle="1">
    <w:name w:val="citation-97"/>
    <w:basedOn w:val="DefaultParagraphFont"/>
    <w:qFormat/>
    <w:rPr/>
  </w:style>
  <w:style w:type="character" w:styleId="Citation-98" w:customStyle="1">
    <w:name w:val="citation-98"/>
    <w:basedOn w:val="DefaultParagraphFont"/>
    <w:qFormat/>
    <w:rPr/>
  </w:style>
  <w:style w:type="character" w:styleId="Citation-99" w:customStyle="1">
    <w:name w:val="citation-99"/>
    <w:basedOn w:val="DefaultParagraphFont"/>
    <w:qFormat/>
    <w:rPr/>
  </w:style>
  <w:style w:type="character" w:styleId="Citation-100" w:customStyle="1">
    <w:name w:val="citation-100"/>
    <w:basedOn w:val="DefaultParagraphFont"/>
    <w:qFormat/>
    <w:rPr/>
  </w:style>
  <w:style w:type="character" w:styleId="Citation-101" w:customStyle="1">
    <w:name w:val="citation-101"/>
    <w:basedOn w:val="DefaultParagraphFont"/>
    <w:qFormat/>
    <w:rPr/>
  </w:style>
  <w:style w:type="character" w:styleId="Citation-102" w:customStyle="1">
    <w:name w:val="citation-102"/>
    <w:basedOn w:val="DefaultParagraphFont"/>
    <w:qFormat/>
    <w:rPr/>
  </w:style>
  <w:style w:type="character" w:styleId="Citation-103" w:customStyle="1">
    <w:name w:val="citation-103"/>
    <w:basedOn w:val="DefaultParagraphFont"/>
    <w:qFormat/>
    <w:rPr/>
  </w:style>
  <w:style w:type="character" w:styleId="Citation-104" w:customStyle="1">
    <w:name w:val="citation-104"/>
    <w:basedOn w:val="DefaultParagraphFont"/>
    <w:qFormat/>
    <w:rPr/>
  </w:style>
  <w:style w:type="character" w:styleId="Citation-105" w:customStyle="1">
    <w:name w:val="citation-105"/>
    <w:basedOn w:val="DefaultParagraphFont"/>
    <w:qFormat/>
    <w:rPr/>
  </w:style>
  <w:style w:type="character" w:styleId="Citation-106" w:customStyle="1">
    <w:name w:val="citation-106"/>
    <w:basedOn w:val="DefaultParagraphFont"/>
    <w:qFormat/>
    <w:rPr/>
  </w:style>
  <w:style w:type="character" w:styleId="Citation-107" w:customStyle="1">
    <w:name w:val="citation-107"/>
    <w:basedOn w:val="DefaultParagraphFont"/>
    <w:qFormat/>
    <w:rPr/>
  </w:style>
  <w:style w:type="character" w:styleId="Button-label" w:customStyle="1">
    <w:name w:val="button-label"/>
    <w:basedOn w:val="DefaultParagraphFont"/>
    <w:qFormat/>
    <w:rPr/>
  </w:style>
  <w:style w:type="character" w:styleId="Citation-108" w:customStyle="1">
    <w:name w:val="citation-108"/>
    <w:basedOn w:val="DefaultParagraphFont"/>
    <w:qFormat/>
    <w:rPr/>
  </w:style>
  <w:style w:type="character" w:styleId="Ninguno" w:customStyle="1">
    <w:name w:val="Ninguno"/>
    <w:qFormat/>
    <w:rPr>
      <w:lang w:val="es-ES_tradnl"/>
    </w:rPr>
  </w:style>
  <w:style w:type="character" w:styleId="FootnoteTextChar">
    <w:name w:val="Footnote Text Char"/>
    <w:qFormat/>
    <w:rPr>
      <w:sz w:val="20"/>
      <w:szCs w:val="20"/>
    </w:rPr>
  </w:style>
  <w:style w:type="character" w:styleId="Caracteresdenotaalpie">
    <w:name w:val="Caracteres de nota al pie"/>
    <w:qFormat/>
    <w:rPr>
      <w:vertAlign w:val="superscript"/>
    </w:rPr>
  </w:style>
  <w:style w:type="character" w:styleId="FootnoteReference">
    <w:name w:val="Footnote Reference"/>
    <w:rPr>
      <w:vertAlign w:val="superscrip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1" w:customStyle="1">
    <w:name w:val="caption1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val="es-ES" w:eastAsia="zh-CN" w:bidi="hi-IN"/>
    </w:rPr>
  </w:style>
  <w:style w:type="paragraph" w:styleId="Caption1111" w:customStyle="1">
    <w:name w:val="caption1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BalloonText">
    <w:name w:val="Balloon Text"/>
    <w:basedOn w:val="Normal"/>
    <w:qFormat/>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left="72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asciiTheme="minorHAnsi" w:eastAsiaTheme="minorHAnsi" w:hAnsiTheme="minorHAnsi"/>
      <w:vanish/>
      <w:color w:val="auto"/>
      <w:kern w:val="0"/>
      <w:sz w:val="16"/>
      <w:szCs w:val="24"/>
      <w:lang w:val="es-ES" w:eastAsia="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asciiTheme="minorHAnsi" w:eastAsiaTheme="minorHAnsi" w:hAnsiTheme="minorHAnsi"/>
      <w:vanish/>
      <w:color w:val="auto"/>
      <w:kern w:val="0"/>
      <w:sz w:val="16"/>
      <w:szCs w:val="24"/>
      <w:lang w:val="es-ES" w:eastAsia="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left="360" w:right="36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scripcin3" w:customStyle="1">
    <w:name w:val="Descripción3"/>
    <w:basedOn w:val="Normal"/>
    <w:qFormat/>
    <w:pPr>
      <w:spacing w:before="120" w:after="120"/>
    </w:pPr>
    <w:rPr>
      <w:rFonts w:cs="Arial"/>
      <w:i/>
      <w:iCs/>
    </w:rPr>
  </w:style>
  <w:style w:type="paragraph" w:styleId="Asuntodelcomentario1" w:customStyle="1">
    <w:name w:val="Asunto del comentario1"/>
    <w:qFormat/>
    <w:pPr>
      <w:widowControl/>
      <w:suppressAutoHyphens w:val="true"/>
      <w:bidi w:val="0"/>
      <w:spacing w:before="0" w:after="0"/>
      <w:jc w:val="left"/>
    </w:pPr>
    <w:rPr>
      <w:rFonts w:ascii="Arial" w:hAnsi="Arial" w:eastAsia="Arial" w:cs="DejaVu Sans" w:asciiTheme="minorHAnsi" w:cstheme="minorBidi" w:eastAsiaTheme="minorHAnsi" w:hAnsiTheme="minorHAnsi"/>
      <w:b/>
      <w:bCs/>
      <w:color w:val="auto"/>
      <w:kern w:val="0"/>
      <w:sz w:val="20"/>
      <w:szCs w:val="24"/>
      <w:lang w:val="es-ES" w:eastAsia="en-US" w:bidi="ar-SA"/>
    </w:rPr>
  </w:style>
  <w:style w:type="paragraph" w:styleId="Textocomentario1" w:customStyle="1">
    <w:name w:val="Texto comentario1"/>
    <w:basedOn w:val="Normal"/>
    <w:qFormat/>
    <w:pPr/>
    <w:rPr>
      <w:sz w:val="20"/>
    </w:rPr>
  </w:style>
  <w:style w:type="paragraph" w:styleId="Textodeglobo1" w:customStyle="1">
    <w:name w:val="Texto de globo1"/>
    <w:basedOn w:val="Normal"/>
    <w:qFormat/>
    <w:pPr/>
    <w:rPr>
      <w:rFonts w:ascii="Segoe UI" w:hAnsi="Segoe UI" w:cs="Segoe UI"/>
      <w:sz w:val="18"/>
      <w:szCs w:val="18"/>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Textodebloque1" w:customStyle="1">
    <w:name w:val="Texto de bloque1"/>
    <w:basedOn w:val="Normal"/>
    <w:qFormat/>
    <w:pPr>
      <w:ind w:left="567" w:right="-285"/>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Sangra2detindependiente1" w:customStyle="1">
    <w:name w:val="Sangría 2 de t. independiente1"/>
    <w:basedOn w:val="Normal"/>
    <w:qFormat/>
    <w:pPr>
      <w:ind w:left="360"/>
      <w:jc w:val="both"/>
    </w:pPr>
    <w:rPr>
      <w:bCs/>
      <w:sz w:val="28"/>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left="567" w:right="567"/>
    </w:pPr>
    <w:rPr/>
  </w:style>
  <w:style w:type="paragraph" w:styleId="P1" w:customStyle="1">
    <w:name w:val="p1"/>
    <w:basedOn w:val="Normal"/>
    <w:qFormat/>
    <w:pPr>
      <w:spacing w:lineRule="atLeast" w:line="182"/>
    </w:pPr>
    <w:rPr>
      <w:rFonts w:ascii="Arial" w:hAnsi="Arial" w:cs="Arial"/>
      <w:sz w:val="27"/>
      <w:szCs w:val="27"/>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Encabezado1" w:customStyle="1">
    <w:name w:val="Encabezado 1"/>
    <w:basedOn w:val="Normal"/>
    <w:next w:val="Normal"/>
    <w:qFormat/>
    <w:pPr>
      <w:keepNext w:val="true"/>
      <w:jc w:val="center"/>
    </w:pPr>
    <w:rPr>
      <w:rFonts w:ascii="Arial" w:hAnsi="Arial" w:cs="Arial"/>
      <w:b/>
      <w:bCs/>
      <w:sz w:val="22"/>
    </w:rPr>
  </w:style>
  <w:style w:type="paragraph" w:styleId="Mce" w:customStyle="1">
    <w:name w:val="mce"/>
    <w:basedOn w:val="Normal"/>
    <w:qFormat/>
    <w:pPr>
      <w:suppressAutoHyphens w:val="false"/>
      <w:spacing w:before="280" w:after="280"/>
    </w:pPr>
    <w:rPr>
      <w:rFonts w:ascii="Times New Roman" w:hAnsi="Times New Roman" w:cs="Times New Roman"/>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Prrafodelista1" w:customStyle="1">
    <w:name w:val="Párrafo de lista1"/>
    <w:basedOn w:val="Normal"/>
    <w:qFormat/>
    <w:pPr>
      <w:spacing w:before="0" w:after="200"/>
      <w:ind w:left="720"/>
      <w:contextualSpacing/>
    </w:pPr>
    <w:rPr>
      <w:rFonts w:ascii="Calibri" w:hAnsi="Calibri" w:eastAsia="Calibri" w:cs="Calibri"/>
    </w:rPr>
  </w:style>
  <w:style w:type="paragraph" w:styleId="Epgrafe1" w:customStyle="1">
    <w:name w:val="Epígrafe1"/>
    <w:basedOn w:val="Normal"/>
    <w:qFormat/>
    <w:pPr>
      <w:spacing w:before="120" w:after="120"/>
    </w:pPr>
    <w:rPr>
      <w:rFonts w:cs="Arial"/>
      <w:i/>
      <w:iCs/>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pacing w:before="120" w:after="120"/>
    </w:pPr>
    <w:rPr>
      <w:rFonts w:cs="Arial"/>
      <w:i/>
      <w:iCs/>
    </w:rPr>
  </w:style>
  <w:style w:type="paragraph" w:styleId="Ttulo3"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pacing w:before="120" w:after="120"/>
    </w:pPr>
    <w:rPr>
      <w:rFonts w:cs="Arial"/>
      <w:i/>
      <w:iCs/>
    </w:rPr>
  </w:style>
  <w:style w:type="paragraph" w:styleId="Ttulo4" w:customStyle="1">
    <w:name w:val="Título4"/>
    <w:basedOn w:val="Normal"/>
    <w:qFormat/>
    <w:pPr>
      <w:keepNext w:val="true"/>
      <w:spacing w:before="240" w:after="120"/>
    </w:pPr>
    <w:rPr>
      <w:rFonts w:ascii="Liberation Sans" w:hAnsi="Liberation Sans" w:eastAsia="Microsoft YaHei" w:cs="Arial"/>
      <w:sz w:val="28"/>
      <w:szCs w:val="28"/>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pacing w:before="120" w:after="120"/>
    </w:pPr>
    <w:rPr>
      <w:rFonts w:cs="Arial"/>
      <w:i/>
      <w:iCs/>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pacing w:before="120" w:after="120"/>
    </w:pPr>
    <w:rPr>
      <w:rFonts w:cs="Arial"/>
      <w:i/>
      <w:iCs/>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Puesto1" w:customStyle="1">
    <w:name w:val="Puesto1"/>
    <w:basedOn w:val="Normal"/>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pacing w:before="120" w:after="120"/>
    </w:pPr>
    <w:rPr>
      <w:rFonts w:cs="Mangal"/>
      <w:i/>
      <w:iCs/>
    </w:rPr>
  </w:style>
  <w:style w:type="paragraph" w:styleId="Caption2" w:customStyle="1">
    <w:name w:val="caption2"/>
    <w:basedOn w:val="Normal"/>
    <w:qFormat/>
    <w:pPr>
      <w:suppressLineNumbers/>
      <w:spacing w:before="120" w:after="120"/>
    </w:pPr>
    <w:rPr>
      <w:rFonts w:cs="Arial"/>
      <w:i/>
      <w:iCs/>
    </w:rPr>
  </w:style>
  <w:style w:type="paragraph" w:styleId="FootnoteText">
    <w:name w:val="Footnote Text"/>
    <w:basedOn w:val="Normal"/>
    <w:pPr>
      <w:spacing w:lineRule="auto" w:line="240" w:before="0" w:after="0"/>
    </w:pPr>
    <w:rPr>
      <w:sz w:val="20"/>
      <w:szCs w:val="20"/>
    </w:rPr>
  </w:style>
  <w:style w:type="paragraph" w:styleId="StrongEmphasis">
    <w:name w:val="Strong Emphasis"/>
    <w:qFormat/>
    <w:pPr>
      <w:widowControl/>
      <w:suppressAutoHyphens w:val="true"/>
      <w:bidi w:val="0"/>
      <w:spacing w:before="0" w:after="0"/>
      <w:jc w:val="left"/>
    </w:pPr>
    <w:rPr>
      <w:rFonts w:ascii="Times New Roman" w:hAnsi="Times New Roman" w:eastAsia="NSimSun" w:cs="Arial"/>
      <w:b/>
      <w:bCs/>
      <w:color w:val="auto"/>
      <w:kern w:val="0"/>
      <w:sz w:val="20"/>
      <w:szCs w:val="20"/>
      <w:lang w:val="es-ES" w:eastAsia="zh-CN" w:bidi="hi-IN"/>
    </w:rPr>
  </w:style>
  <w:style w:type="numbering" w:styleId="NoList" w:default="1">
    <w:name w:val="No List"/>
    <w:uiPriority w:val="99"/>
    <w:semiHidden/>
    <w:unhideWhenUsed/>
    <w:qFormat/>
  </w:style>
  <w:style w:type="numbering" w:styleId="Ningunalista" w:customStyle="1">
    <w:name w:val="Ninguna lista"/>
    <w:uiPriority w:val="99"/>
    <w:semiHidden/>
    <w:unhideWhenUsed/>
    <w:qFormat/>
  </w:style>
  <w:style w:type="numbering" w:styleId="WW8Num71" w:customStyle="1">
    <w:name w:val="WW8Num71"/>
    <w:qFormat/>
  </w:style>
  <w:style w:type="numbering" w:styleId="WW8Num1">
    <w:name w:val="WW8Num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664</TotalTime>
  <Application>LibreOffice/7.6.7.2$Windows_X86_64 LibreOffice_project/dd47e4b30cb7dab30588d6c79c651f218165e3c5</Application>
  <AppVersion>15.0000</AppVersion>
  <Pages>2</Pages>
  <Words>447</Words>
  <Characters>2639</Characters>
  <CharactersWithSpaces>3080</CharactersWithSpaces>
  <Paragraphs>12</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2008-04-18T08:06:00Z</dcterms:created>
  <dc:creator>framirez</dc:creator>
  <dc:description/>
  <dc:language>es-ES</dc:language>
  <cp:lastModifiedBy/>
  <cp:lastPrinted>2026-04-10T12:20:00Z</cp:lastPrinted>
  <dcterms:modified xsi:type="dcterms:W3CDTF">2026-05-18T10:21:04Z</dcterms:modified>
  <cp:revision>110</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