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1A" w:rsidRDefault="00957277">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 xml:space="preserve">El Pleno felicita a un mando y varios agentes de la Policía Local por su meritoria actuación en el incendio de una vivienda en la urbanización </w:t>
      </w:r>
      <w:proofErr w:type="spellStart"/>
      <w:r>
        <w:rPr>
          <w:rFonts w:ascii="Arial Narrow" w:eastAsia="NSimSun" w:hAnsi="Arial Narrow" w:cs="Alef"/>
          <w:b/>
          <w:bCs/>
          <w:spacing w:val="-2"/>
          <w:sz w:val="40"/>
          <w:szCs w:val="40"/>
          <w:lang w:bidi="hi-IN"/>
        </w:rPr>
        <w:t>Olimpus</w:t>
      </w:r>
      <w:proofErr w:type="spellEnd"/>
    </w:p>
    <w:p w:rsidR="009F0B1A" w:rsidRDefault="009F0B1A">
      <w:pPr>
        <w:widowControl w:val="0"/>
        <w:shd w:val="clear" w:color="auto" w:fill="FFFFFF"/>
        <w:tabs>
          <w:tab w:val="left" w:pos="729"/>
        </w:tabs>
        <w:jc w:val="both"/>
        <w:rPr>
          <w:rFonts w:ascii="Arial Narrow" w:eastAsia="Arial" w:hAnsi="Arial Narrow" w:cs="Arial Narrow"/>
          <w:sz w:val="40"/>
          <w:szCs w:val="40"/>
          <w:lang w:eastAsia="es-ES_tradnl"/>
        </w:rPr>
      </w:pPr>
    </w:p>
    <w:p w:rsidR="009F0B1A" w:rsidRDefault="00957277">
      <w:pPr>
        <w:widowControl w:val="0"/>
        <w:shd w:val="clear" w:color="auto" w:fill="FFFFFF"/>
        <w:tabs>
          <w:tab w:val="left" w:pos="729"/>
        </w:tabs>
        <w:rPr>
          <w:rFonts w:ascii="Arial Narrow" w:hAnsi="Arial Narrow"/>
        </w:rPr>
      </w:pPr>
      <w:r>
        <w:rPr>
          <w:rStyle w:val="Textoennegrita"/>
          <w:rFonts w:ascii="Arial Narrow" w:eastAsia="Arial" w:hAnsi="Arial Narrow" w:cs="Arial Narrow"/>
          <w:b w:val="0"/>
          <w:bCs w:val="0"/>
          <w:sz w:val="32"/>
          <w:szCs w:val="32"/>
          <w:lang w:eastAsia="es-ES_tradnl"/>
        </w:rPr>
        <w:t xml:space="preserve">La Corporación municipal agradece en una Declaración Conjunta la actuación ejemplar de un profesional del taxi </w:t>
      </w:r>
    </w:p>
    <w:p w:rsidR="009F0B1A" w:rsidRDefault="009F0B1A">
      <w:pPr>
        <w:pStyle w:val="western"/>
        <w:rPr>
          <w:rFonts w:ascii="Arial Narrow" w:hAnsi="Arial Narrow"/>
        </w:rPr>
      </w:pPr>
    </w:p>
    <w:p w:rsidR="009F0B1A" w:rsidRDefault="00957277">
      <w:pPr>
        <w:jc w:val="both"/>
        <w:rPr>
          <w:rFonts w:ascii="Arial Narrow" w:hAnsi="Arial Narrow"/>
          <w:sz w:val="26"/>
          <w:szCs w:val="26"/>
        </w:rPr>
      </w:pPr>
      <w:r>
        <w:rPr>
          <w:rFonts w:ascii="Arial Narrow" w:hAnsi="Arial Narrow" w:cstheme="majorHAnsi"/>
          <w:b/>
          <w:bCs/>
          <w:sz w:val="26"/>
          <w:szCs w:val="26"/>
        </w:rPr>
        <w:t>29 de mayo de 2026</w:t>
      </w:r>
      <w:r>
        <w:rPr>
          <w:rFonts w:ascii="Arial Narrow" w:hAnsi="Arial Narrow" w:cstheme="majorHAnsi"/>
          <w:sz w:val="26"/>
          <w:szCs w:val="26"/>
        </w:rPr>
        <w:t xml:space="preserve">. </w:t>
      </w:r>
      <w:r>
        <w:rPr>
          <w:rFonts w:ascii="Arial Narrow" w:hAnsi="Arial Narrow" w:cs="Arial"/>
          <w:sz w:val="26"/>
          <w:szCs w:val="26"/>
        </w:rPr>
        <w:t xml:space="preserve">El Pleno ha aprobado la felicitación pública a un oficial y varios agentes de Policía Local </w:t>
      </w:r>
      <w:r>
        <w:rPr>
          <w:rFonts w:ascii="Arial Narrow" w:hAnsi="Arial Narrow"/>
          <w:sz w:val="26"/>
          <w:szCs w:val="26"/>
        </w:rPr>
        <w:t xml:space="preserve">por distinguirse notablemente en el cumplimiento de su deber en el incendio de una vivienda situada en la urbanización </w:t>
      </w:r>
      <w:proofErr w:type="spellStart"/>
      <w:r>
        <w:rPr>
          <w:rFonts w:ascii="Arial Narrow" w:hAnsi="Arial Narrow"/>
          <w:sz w:val="26"/>
          <w:szCs w:val="26"/>
        </w:rPr>
        <w:t>Olimpus</w:t>
      </w:r>
      <w:proofErr w:type="spellEnd"/>
      <w:r>
        <w:rPr>
          <w:rFonts w:ascii="Arial Narrow" w:hAnsi="Arial Narrow"/>
          <w:sz w:val="26"/>
          <w:szCs w:val="26"/>
        </w:rPr>
        <w:t xml:space="preserve"> en la calle José </w:t>
      </w:r>
      <w:proofErr w:type="spellStart"/>
      <w:r>
        <w:rPr>
          <w:rFonts w:ascii="Arial Narrow" w:hAnsi="Arial Narrow"/>
          <w:sz w:val="26"/>
          <w:szCs w:val="26"/>
        </w:rPr>
        <w:t>Demaría</w:t>
      </w:r>
      <w:proofErr w:type="spellEnd"/>
      <w:r>
        <w:rPr>
          <w:rFonts w:ascii="Arial Narrow" w:hAnsi="Arial Narrow"/>
          <w:sz w:val="26"/>
          <w:szCs w:val="26"/>
        </w:rPr>
        <w:t xml:space="preserve"> López </w:t>
      </w:r>
      <w:proofErr w:type="spellStart"/>
      <w:r>
        <w:rPr>
          <w:rFonts w:ascii="Arial Narrow" w:hAnsi="Arial Narrow"/>
          <w:sz w:val="26"/>
          <w:szCs w:val="26"/>
        </w:rPr>
        <w:t>Campúa</w:t>
      </w:r>
      <w:proofErr w:type="spellEnd"/>
      <w:r>
        <w:rPr>
          <w:rFonts w:ascii="Arial Narrow" w:hAnsi="Arial Narrow"/>
          <w:sz w:val="26"/>
          <w:szCs w:val="26"/>
        </w:rPr>
        <w:t xml:space="preserve">.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La alcaldesa y el teniente de alcaldesa de Seguridad, José Ignacio Martínez, en nombre de la Corporación han felicitado a estos agentes y al conjunto de la plantilla de la Policía Local por su entrega y especialmente al oficial y los agentes actuantes en dicho incendio por la profesionalidad con la que actúan a diario.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El teniente de alcaldesa de Seguridad, Ignacio Martínez, ha dado lectura al expediente de felicitación del oficial José María Romero Durán y los agentes Juan Carlos Morales Montero, Adolfo Biedma Gago e Isaac Morón Barea, integrantes de las unidades Lima 10 y Charly 30.</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Los hechos se remontan al 17 de julio de 2025 cuando el oficial y los agentes, estando de servicio, fueron requeridos por un ciudadano con motivo del incendio en una vivienda de la urbanización </w:t>
      </w:r>
      <w:proofErr w:type="spellStart"/>
      <w:r>
        <w:rPr>
          <w:rFonts w:ascii="Arial Narrow" w:hAnsi="Arial Narrow"/>
          <w:sz w:val="26"/>
          <w:szCs w:val="26"/>
        </w:rPr>
        <w:t>Olimpus</w:t>
      </w:r>
      <w:proofErr w:type="spellEnd"/>
      <w:r>
        <w:rPr>
          <w:rFonts w:ascii="Arial Narrow" w:hAnsi="Arial Narrow"/>
          <w:sz w:val="26"/>
          <w:szCs w:val="26"/>
        </w:rPr>
        <w:t xml:space="preserve">. Al personarse en el lugar, pudieron comprobar una densa humareda en una vivienda que se propagaba a las zonas comunes. Los agentes intervinientes procedieron al desalojo preventivo, verificando puerta a puerta la presencia de personas en el interior de las viviendas, siendo necesaria la evacuación de personas con discapacidad y procurarles asistencia médica.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En la vivienda del ático en la que se originó el siniestro había tres jóvenes intentando extinguir el fuego con un extintor, presentando la vivienda una acumulación de humo que ponía en riesgo la integridad de los que se encontraban en la misma. Los agentes procedieron a la evacuación de los jóvenes, logrando apagar el fuego con extintores impidiendo su propagación. Posteriormente, se personaron en el lugar varias dotaciones de Bomberos quienes procedieron a la ventilación e inspección de la zona afectada.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Como consecuencia de la inhalación de humo, varios vecinos y tres agentes presentaban dificultades respiratorias, teniendo que ser trasladado uno de ellos a un centro hospitalario. </w:t>
      </w:r>
    </w:p>
    <w:p w:rsidR="009F0B1A" w:rsidRDefault="009F0B1A">
      <w:pPr>
        <w:jc w:val="both"/>
        <w:rPr>
          <w:rFonts w:ascii="Arial Narrow" w:hAnsi="Arial Narrow"/>
          <w:sz w:val="26"/>
          <w:szCs w:val="26"/>
        </w:rPr>
      </w:pPr>
    </w:p>
    <w:p w:rsidR="009F0B1A" w:rsidRDefault="009F0B1A">
      <w:pPr>
        <w:jc w:val="both"/>
        <w:rPr>
          <w:rFonts w:ascii="Arial Narrow" w:hAnsi="Arial Narrow"/>
          <w:sz w:val="26"/>
          <w:szCs w:val="26"/>
        </w:rPr>
      </w:pPr>
    </w:p>
    <w:p w:rsidR="009F0B1A" w:rsidRPr="004766AB" w:rsidRDefault="00957277">
      <w:pPr>
        <w:widowControl w:val="0"/>
        <w:shd w:val="clear" w:color="auto" w:fill="FFFFFF"/>
        <w:tabs>
          <w:tab w:val="left" w:pos="729"/>
        </w:tabs>
        <w:jc w:val="both"/>
        <w:rPr>
          <w:sz w:val="28"/>
        </w:rPr>
      </w:pPr>
      <w:r w:rsidRPr="004766AB">
        <w:rPr>
          <w:rStyle w:val="Textoennegrita"/>
          <w:rFonts w:ascii="Arial Narrow" w:eastAsia="Arial" w:hAnsi="Arial Narrow" w:cs="Arial Narrow"/>
          <w:sz w:val="28"/>
          <w:szCs w:val="26"/>
          <w:lang w:eastAsia="es-ES_tradnl"/>
        </w:rPr>
        <w:t xml:space="preserve">Agradecimiento a la actuación ejemplar de un profesional del taxi </w:t>
      </w:r>
    </w:p>
    <w:p w:rsidR="009F0B1A" w:rsidRDefault="009F0B1A">
      <w:pPr>
        <w:widowControl w:val="0"/>
        <w:shd w:val="clear" w:color="auto" w:fill="FFFFFF"/>
        <w:tabs>
          <w:tab w:val="left" w:pos="729"/>
        </w:tabs>
        <w:jc w:val="both"/>
        <w:rPr>
          <w:rFonts w:ascii="Arial Narrow" w:hAnsi="Arial Narrow"/>
          <w:sz w:val="26"/>
          <w:szCs w:val="26"/>
        </w:rPr>
      </w:pPr>
    </w:p>
    <w:p w:rsidR="009F0B1A" w:rsidRDefault="00957277">
      <w:pPr>
        <w:widowControl w:val="0"/>
        <w:shd w:val="clear" w:color="auto" w:fill="FFFFFF"/>
        <w:tabs>
          <w:tab w:val="left" w:pos="729"/>
        </w:tabs>
        <w:jc w:val="both"/>
      </w:pPr>
      <w:r>
        <w:rPr>
          <w:rStyle w:val="Textoennegrita"/>
          <w:rFonts w:ascii="Arial Narrow" w:eastAsia="Arial" w:hAnsi="Arial Narrow" w:cs="Arial Narrow"/>
          <w:b w:val="0"/>
          <w:bCs w:val="0"/>
          <w:sz w:val="26"/>
          <w:szCs w:val="26"/>
          <w:lang w:eastAsia="es-ES_tradnl"/>
        </w:rPr>
        <w:t xml:space="preserve">El Pleno ha aprobado una Declaración Institucional en agradecimiento “a la actuación ejemplar de un profesional del Taxi en Jerez y al compromiso del sector con la seguridad ciudadana”. La alcaldesa, María José García-Pelayo, ha dado la bienvenida al presidente de la Asociación del Taxi, Alejandro García, y a otros representantes del colectivo, a quienes ha agradecido su colaboración y su aportación a la ciudad, poniendo en valor su gran labor social y el trabajo que realizan en la Feria de acompañamiento a mujeres que se sienten desprotegidas”. </w:t>
      </w:r>
    </w:p>
    <w:p w:rsidR="009F0B1A" w:rsidRDefault="009F0B1A">
      <w:pPr>
        <w:widowControl w:val="0"/>
        <w:shd w:val="clear" w:color="auto" w:fill="FFFFFF"/>
        <w:tabs>
          <w:tab w:val="left" w:pos="729"/>
        </w:tabs>
        <w:jc w:val="both"/>
        <w:rPr>
          <w:rFonts w:ascii="Arial Narrow" w:hAnsi="Arial Narrow"/>
          <w:sz w:val="26"/>
          <w:szCs w:val="26"/>
        </w:rPr>
      </w:pPr>
    </w:p>
    <w:p w:rsidR="009F0B1A" w:rsidRDefault="00957277">
      <w:pPr>
        <w:widowControl w:val="0"/>
        <w:shd w:val="clear" w:color="auto" w:fill="FFFFFF"/>
        <w:tabs>
          <w:tab w:val="left" w:pos="729"/>
        </w:tabs>
        <w:jc w:val="both"/>
      </w:pPr>
      <w:r>
        <w:rPr>
          <w:rStyle w:val="Textoennegrita"/>
          <w:rFonts w:ascii="Arial Narrow" w:eastAsia="Arial" w:hAnsi="Arial Narrow" w:cs="Arial Narrow"/>
          <w:b w:val="0"/>
          <w:bCs w:val="0"/>
          <w:sz w:val="26"/>
          <w:szCs w:val="26"/>
          <w:lang w:eastAsia="es-ES_tradnl"/>
        </w:rPr>
        <w:t xml:space="preserve">La alcaldesa ha dado lectura a la Declaración, en la que se recuerdan los hechos que la han motivado. “La semana pasada conocíamos en Jerez un grave episodio de presunta agresión sexual a una joven en la vía pública que, afortunadamente, pudo resolverse con la rápida detención del presunto autor gracias a la intervención y colaboración de un profesional del taxi”. La actuación de este taxista -prosigue el documento -  “resultó clave para auxiliar a la víctima, alertar de inmediato a las fuerzas de seguridad y facilitar una rápida respuesta policial. Su comportamiento ejemplifica valores fundamentales como la responsabilidad, la solidaridad, la humanidad y el compromiso con la seguridad de la ciudadanía”. </w:t>
      </w:r>
    </w:p>
    <w:p w:rsidR="009F0B1A" w:rsidRDefault="009F0B1A">
      <w:pPr>
        <w:widowControl w:val="0"/>
        <w:shd w:val="clear" w:color="auto" w:fill="FFFFFF"/>
        <w:tabs>
          <w:tab w:val="left" w:pos="729"/>
        </w:tabs>
        <w:jc w:val="both"/>
        <w:rPr>
          <w:rFonts w:ascii="Arial Narrow" w:hAnsi="Arial Narrow"/>
          <w:sz w:val="26"/>
          <w:szCs w:val="26"/>
        </w:rPr>
      </w:pPr>
    </w:p>
    <w:p w:rsidR="009F0B1A" w:rsidRDefault="00957277">
      <w:pPr>
        <w:widowControl w:val="0"/>
        <w:shd w:val="clear" w:color="auto" w:fill="FFFFFF"/>
        <w:tabs>
          <w:tab w:val="left" w:pos="729"/>
        </w:tabs>
        <w:jc w:val="both"/>
      </w:pPr>
      <w:r>
        <w:rPr>
          <w:rStyle w:val="Textoennegrita"/>
          <w:rFonts w:ascii="Arial Narrow" w:eastAsia="Arial" w:hAnsi="Arial Narrow" w:cs="Arial Narrow"/>
          <w:b w:val="0"/>
          <w:bCs w:val="0"/>
          <w:sz w:val="26"/>
          <w:szCs w:val="26"/>
          <w:lang w:eastAsia="es-ES_tradnl"/>
        </w:rPr>
        <w:t xml:space="preserve">Es por ello, que a través de esta Declaración conjunta, desde el Ayuntamiento de Jerez se pretende “trasladar nuestro reconocimiento y agradecimiento tanto a este profesional como al conjunto del sector del taxi, que desempeña una labor esencial en nuestra ciudad, no sólo como servicio público de movilidad, sino también como una red de apoyo y protección para muchas personas, especialmente en situaciones de vulnerabilidad o emergencia”. </w:t>
      </w:r>
    </w:p>
    <w:p w:rsidR="009F0B1A" w:rsidRDefault="009F0B1A">
      <w:pPr>
        <w:widowControl w:val="0"/>
        <w:shd w:val="clear" w:color="auto" w:fill="FFFFFF"/>
        <w:tabs>
          <w:tab w:val="left" w:pos="729"/>
        </w:tabs>
        <w:jc w:val="both"/>
        <w:rPr>
          <w:rFonts w:ascii="Arial Narrow" w:hAnsi="Arial Narrow"/>
          <w:sz w:val="26"/>
          <w:szCs w:val="26"/>
        </w:rPr>
      </w:pPr>
    </w:p>
    <w:p w:rsidR="009F0B1A" w:rsidRDefault="00957277">
      <w:pPr>
        <w:widowControl w:val="0"/>
        <w:shd w:val="clear" w:color="auto" w:fill="FFFFFF"/>
        <w:tabs>
          <w:tab w:val="left" w:pos="729"/>
        </w:tabs>
        <w:jc w:val="both"/>
      </w:pPr>
      <w:r>
        <w:rPr>
          <w:rStyle w:val="Textoennegrita"/>
          <w:rFonts w:ascii="Arial Narrow" w:eastAsia="Arial" w:hAnsi="Arial Narrow" w:cs="Arial Narrow"/>
          <w:b w:val="0"/>
          <w:bCs w:val="0"/>
          <w:sz w:val="26"/>
          <w:szCs w:val="26"/>
          <w:lang w:eastAsia="es-ES_tradnl"/>
        </w:rPr>
        <w:t xml:space="preserve">De igual forma, en el texto se expresa también la felicitación a la Policía Nacional, “por la eficacia y rapidez de la actuación desarrollada tras el aviso, que permitió localizar y detener al presunto agresor en un corto espacio de tiempo”. </w:t>
      </w:r>
    </w:p>
    <w:p w:rsidR="009F0B1A" w:rsidRDefault="009F0B1A">
      <w:pPr>
        <w:widowControl w:val="0"/>
        <w:shd w:val="clear" w:color="auto" w:fill="FFFFFF"/>
        <w:tabs>
          <w:tab w:val="left" w:pos="729"/>
        </w:tabs>
        <w:jc w:val="both"/>
        <w:rPr>
          <w:rFonts w:ascii="Arial Narrow" w:hAnsi="Arial Narrow"/>
          <w:sz w:val="26"/>
          <w:szCs w:val="26"/>
        </w:rPr>
      </w:pPr>
    </w:p>
    <w:p w:rsidR="009F0B1A" w:rsidRDefault="00957277">
      <w:pPr>
        <w:widowControl w:val="0"/>
        <w:shd w:val="clear" w:color="auto" w:fill="FFFFFF"/>
        <w:tabs>
          <w:tab w:val="left" w:pos="729"/>
        </w:tabs>
        <w:jc w:val="both"/>
      </w:pPr>
      <w:r>
        <w:rPr>
          <w:rStyle w:val="Textoennegrita"/>
          <w:rFonts w:ascii="Arial Narrow" w:eastAsia="Arial" w:hAnsi="Arial Narrow" w:cs="Arial Narrow"/>
          <w:b w:val="0"/>
          <w:bCs w:val="0"/>
          <w:sz w:val="26"/>
          <w:szCs w:val="26"/>
          <w:lang w:eastAsia="es-ES_tradnl"/>
        </w:rPr>
        <w:t>Como conclusión, la Declaración conjunta subraya que “la lucha contra cualquier forma de violencia sexual requiere del compromiso colectivo de toda la sociedad”. Por este motivo, “es fundamental seguir reforzando la concienciación, la colaboración ciudadana y el compromiso colectivo”</w:t>
      </w:r>
    </w:p>
    <w:p w:rsidR="009F0B1A" w:rsidRDefault="009F0B1A">
      <w:pPr>
        <w:jc w:val="both"/>
        <w:rPr>
          <w:rFonts w:ascii="Arial Narrow" w:eastAsia="Times New Roman" w:hAnsi="Arial Narrow" w:cs="Century Gothic"/>
          <w:bCs/>
          <w:spacing w:val="-3"/>
          <w:sz w:val="26"/>
          <w:szCs w:val="26"/>
          <w:lang w:eastAsia="zh-CN"/>
        </w:rPr>
      </w:pPr>
    </w:p>
    <w:p w:rsidR="009F0B1A" w:rsidRPr="004766AB" w:rsidRDefault="00957277">
      <w:pPr>
        <w:jc w:val="both"/>
        <w:rPr>
          <w:rFonts w:ascii="Arial Narrow" w:hAnsi="Arial Narrow"/>
          <w:sz w:val="28"/>
          <w:szCs w:val="26"/>
        </w:rPr>
      </w:pPr>
      <w:r w:rsidRPr="004766AB">
        <w:rPr>
          <w:rFonts w:ascii="Arial Narrow" w:hAnsi="Arial Narrow" w:cs="Arial"/>
          <w:b/>
          <w:bCs/>
          <w:sz w:val="28"/>
          <w:szCs w:val="26"/>
        </w:rPr>
        <w:t>Proyecto de actuación para una nueva casa rural</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cs="Arial"/>
          <w:bCs/>
          <w:sz w:val="26"/>
          <w:szCs w:val="26"/>
        </w:rPr>
        <w:t xml:space="preserve">Entre los asuntos de interés, el Pleno ha aprobado el proyecto de actuación necesario para desarrollar un proyecto en suelo rústico consistente en la adaptación parcial de un cortijo para uso de casa rural en la Finca Salto el Cielo. La aprobación del proyecto de </w:t>
      </w:r>
      <w:r>
        <w:rPr>
          <w:rFonts w:ascii="Arial Narrow" w:hAnsi="Arial Narrow" w:cs="Arial"/>
          <w:bCs/>
          <w:sz w:val="26"/>
          <w:szCs w:val="26"/>
        </w:rPr>
        <w:lastRenderedPageBreak/>
        <w:t xml:space="preserve">actuación constituye la autorización previa a la licencia para llevar a cabo esta iniciativa, que ha sido tramitada desde la Delegación de Urbanismo a petición de sus promotores. </w:t>
      </w:r>
    </w:p>
    <w:p w:rsidR="009F0B1A" w:rsidRDefault="009F0B1A">
      <w:pPr>
        <w:jc w:val="both"/>
        <w:rPr>
          <w:rFonts w:ascii="Arial Narrow" w:hAnsi="Arial Narrow" w:cs="Arial"/>
          <w:bCs/>
          <w:sz w:val="26"/>
          <w:szCs w:val="26"/>
        </w:rPr>
      </w:pPr>
    </w:p>
    <w:p w:rsidR="009F0B1A" w:rsidRDefault="00957277">
      <w:pPr>
        <w:jc w:val="both"/>
        <w:rPr>
          <w:rFonts w:ascii="Arial Narrow" w:hAnsi="Arial Narrow"/>
          <w:sz w:val="26"/>
          <w:szCs w:val="26"/>
        </w:rPr>
      </w:pPr>
      <w:r>
        <w:rPr>
          <w:rFonts w:ascii="Arial Narrow" w:hAnsi="Arial Narrow" w:cs="Arial"/>
          <w:bCs/>
          <w:sz w:val="26"/>
          <w:szCs w:val="26"/>
        </w:rPr>
        <w:t>Como ha explicado la delegada de Urbanismo, Belén de la Cuadra, el</w:t>
      </w:r>
      <w:r>
        <w:rPr>
          <w:rFonts w:ascii="Arial Narrow" w:hAnsi="Arial Narrow"/>
          <w:sz w:val="26"/>
          <w:szCs w:val="26"/>
        </w:rPr>
        <w:t xml:space="preserve"> expediente de este proyecto de actuación, que se inició el pasado mes de enero, se sometió al trámite de información pública sin que conste que se hayan presentado alegaciones ni reclamaciones durante el periodo preceptivo.</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La actuación propuesta tiene como objeto convertir la vivienda existente en la citada finca en casa rural, con piscina y un edificio auxiliar a la misma.  Para ello, se cuenta con el número de habitaciones y baños ya construidos y se prevé la creación de un comedor independiente, además de la reforma de la cocina.  La edificación  sobre la que se actúa es de tipología “cortijo”, y en ella conviven de manera independiente el uso agrario-ganadero, residencial y religioso (Ermita de los Padres Cartujos). </w:t>
      </w:r>
    </w:p>
    <w:p w:rsidR="009F0B1A" w:rsidRDefault="009F0B1A">
      <w:pPr>
        <w:jc w:val="both"/>
        <w:rPr>
          <w:rFonts w:ascii="Arial Narrow" w:hAnsi="Arial Narrow"/>
          <w:sz w:val="26"/>
          <w:szCs w:val="26"/>
        </w:rPr>
      </w:pPr>
    </w:p>
    <w:p w:rsidR="009F0B1A" w:rsidRPr="004766AB" w:rsidRDefault="00957277">
      <w:pPr>
        <w:jc w:val="both"/>
        <w:rPr>
          <w:rFonts w:ascii="Arial Narrow" w:hAnsi="Arial Narrow"/>
          <w:sz w:val="28"/>
          <w:szCs w:val="26"/>
        </w:rPr>
      </w:pPr>
      <w:r w:rsidRPr="004766AB">
        <w:rPr>
          <w:rFonts w:ascii="Arial Narrow" w:hAnsi="Arial Narrow"/>
          <w:b/>
          <w:bCs/>
          <w:sz w:val="28"/>
          <w:szCs w:val="26"/>
        </w:rPr>
        <w:t>Modificaciones de crédito</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En materia económica, el Pleno ha aprobado cuatro modificaciones de crédito en el Presupuesto Municipal para el ejercicio 2026, prórroga de 2025, destinadas a cubrir necesidades de distintas áreas municipales, tal y como ha explicado el delegado de Economía y Hacienda, Francisco Delgado.</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Por un lado, la modificación T022/2026 se inicia a “</w:t>
      </w:r>
      <w:r w:rsidR="004766AB">
        <w:rPr>
          <w:rFonts w:ascii="Arial Narrow" w:hAnsi="Arial Narrow"/>
          <w:sz w:val="26"/>
          <w:szCs w:val="26"/>
        </w:rPr>
        <w:t>raíz</w:t>
      </w:r>
      <w:r>
        <w:rPr>
          <w:rFonts w:ascii="Arial Narrow" w:hAnsi="Arial Narrow"/>
          <w:sz w:val="26"/>
          <w:szCs w:val="26"/>
        </w:rPr>
        <w:t xml:space="preserve"> de que una funcionaria interina (Psicóloga) para el desarrollo del Programa del Pacto </w:t>
      </w:r>
      <w:bookmarkStart w:id="0" w:name="_GoBack"/>
      <w:bookmarkEnd w:id="0"/>
      <w:r>
        <w:rPr>
          <w:rFonts w:ascii="Arial Narrow" w:hAnsi="Arial Narrow"/>
          <w:sz w:val="26"/>
          <w:szCs w:val="26"/>
        </w:rPr>
        <w:t xml:space="preserve">de Estado contra la violencia de género para el ejercicio 2025, que tuvo una duración desde el 1 de octubre de 2025 al 30 de junio de 2026, y que presentó   renuncia el 18 de noviembre de 2025”, ha señalado.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Como ha explicado el delegado municipal, el nuevo nombramiento de otra funcionaria interina para el mismo puesto se produce el 17 de diciembre de 2025, produciéndose entre ambos  nombramientos un periodo de 28 días, sin cobertura del puesto de trabajo, (del 18 de noviembre a 17 de diciembre de 2025), durante el cual no se ha devengado gasto de personal, cuantificado en 1.890,02 euros.</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Así pues, la Delegación de Igualdad y Diversidad solicita la correspondiente modificación de crédito por importe de 1.890,02 euros, al objeto de regularizar la situación presupuestaria y contable derivada del gasto de personal no ejecutado por ese importe. Por tanto, la citada modificación consiste en suplementos de crédito por el citado importe euros del Proyecto Campaña contra la violencia de género, financiados con bajas por anulación de créditos del Proyecto en las aplicaciones refinanciadas por el mismo importe.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En segundo lugar, la modificación T024/2026 se origina a instancias de la Delegación de Turismo, Proyección Turística y Sostenibilidad Ambiental, que ha solicitado una </w:t>
      </w:r>
      <w:r>
        <w:rPr>
          <w:rFonts w:ascii="Arial Narrow" w:hAnsi="Arial Narrow"/>
          <w:sz w:val="26"/>
          <w:szCs w:val="26"/>
        </w:rPr>
        <w:lastRenderedPageBreak/>
        <w:t xml:space="preserve">modificación de crédito por valor de 16.298,85 euros, en relación al proyecto del Plan de Sostenibilidad Turística Eje Bodeguero de Jerez, Distrito Sherry. </w:t>
      </w:r>
    </w:p>
    <w:p w:rsidR="009F0B1A" w:rsidRDefault="009F0B1A">
      <w:pPr>
        <w:spacing w:after="120"/>
        <w:jc w:val="both"/>
      </w:pPr>
    </w:p>
    <w:p w:rsidR="009F0B1A" w:rsidRDefault="00957277">
      <w:pPr>
        <w:spacing w:after="120"/>
        <w:jc w:val="both"/>
        <w:rPr>
          <w:rFonts w:ascii="Arial Narrow" w:hAnsi="Arial Narrow"/>
          <w:sz w:val="26"/>
          <w:szCs w:val="26"/>
        </w:rPr>
      </w:pPr>
      <w:r>
        <w:rPr>
          <w:rFonts w:ascii="Arial Narrow" w:hAnsi="Arial Narrow"/>
          <w:sz w:val="26"/>
          <w:szCs w:val="26"/>
        </w:rPr>
        <w:t xml:space="preserve">Francisco Delgado ha explicado que “estando próxima la finalización de la ejecución del citado proyecto, prorrogado hasta el 30 de junio de 2026, se da la circunstancia de tener sobrante en alguna de las actuaciones previstas, motivado por la bajada del coste de la inversión o del servicio; con la intención de aprovechar el sobrante mencionado, y para alcanzar el 100% de ejecución del proyecto, se ha planteado distribuir este importe entre varias actuaciones, presentándolo así en el registro electrónico único de la Administración de la Junta de Andalucía. Con fecha 25 de febrero de 2026 se dicta Orden de la Consejería de Turismo y Andalucía Exterior aprobando los ajustes planteados”.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Por su parte, la modificación 032/2026  “da respuesta a los necesidades trasladadas por las Delegaciones de Juventud, Educación y Protección Animal, para atender necesidades recurrentes. Como es sabido, en situaciones de prórroga presupuestaria, las necesidades y las prioridades pueden condicionar la suficiencia de los créditos disponibles de los servicios, requiriéndose de modificaciones que son llevadas a efecto de manera habitual”, ha señalado el delegado.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En este expediente, “la Delegación de Juventud persigue la normalización de sus actividades competenciales con una necesidad de crédito de 85.000 euros. Por su parte, la Delegación de Educación requiere del refuerzo de sus actividades culturales a celebrar durante el 1º trimestre del curso escolar 2026/27 con una necesidad de crédito de 38.550 euros”, ha señalado.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color w:val="242424"/>
          <w:sz w:val="26"/>
          <w:szCs w:val="26"/>
        </w:rPr>
        <w:t>Igualmente, la Delegación de Bienestar Animal “solicita crédito para la atención a gastos diversos propios del Zoológico por un importe de 64.000 euros. Los créditos extraordinarios y suplementos de crédito ascienden por tanto a la cantidad de 187.550 euros</w:t>
      </w:r>
      <w:bookmarkStart w:id="1" w:name="x_AppleMailSignature"/>
      <w:bookmarkEnd w:id="1"/>
      <w:r>
        <w:rPr>
          <w:rFonts w:ascii="Arial Narrow" w:hAnsi="Arial Narrow"/>
          <w:color w:val="242424"/>
          <w:sz w:val="26"/>
          <w:szCs w:val="26"/>
        </w:rPr>
        <w:t xml:space="preserve"> que financiamos con bajas por anulación de gastos en la misma cantidad”. </w:t>
      </w:r>
    </w:p>
    <w:p w:rsidR="009F0B1A" w:rsidRDefault="009F0B1A">
      <w:pPr>
        <w:jc w:val="both"/>
        <w:rPr>
          <w:rFonts w:ascii="Arial Narrow" w:hAnsi="Arial Narrow"/>
          <w:color w:val="242424"/>
          <w:sz w:val="26"/>
          <w:szCs w:val="26"/>
        </w:rPr>
      </w:pPr>
    </w:p>
    <w:p w:rsidR="009F0B1A" w:rsidRDefault="00957277">
      <w:pPr>
        <w:jc w:val="both"/>
        <w:rPr>
          <w:rFonts w:ascii="Arial Narrow" w:hAnsi="Arial Narrow"/>
          <w:color w:val="242424"/>
          <w:sz w:val="26"/>
          <w:szCs w:val="26"/>
        </w:rPr>
      </w:pPr>
      <w:r>
        <w:rPr>
          <w:rFonts w:ascii="Arial Narrow" w:hAnsi="Arial Narrow"/>
          <w:sz w:val="26"/>
          <w:szCs w:val="26"/>
        </w:rPr>
        <w:t xml:space="preserve">Por su último, la modificación 033/2026 va destinada al proyecto de rehabilitación que se va a ejecutar en el antiguo cine Astoria, que tiene un presupuesto total de 388.558,54 euros, de los que 330.274,67 euros se vinculan a la subvención concedida (Fondo Europeo de Desarrollo Regional (2021-2027) y el resto 58.283,78 euros, a la aportación municipal. </w:t>
      </w:r>
    </w:p>
    <w:p w:rsidR="009F0B1A" w:rsidRDefault="009F0B1A">
      <w:pPr>
        <w:jc w:val="both"/>
        <w:rPr>
          <w:rFonts w:ascii="Arial Narrow" w:hAnsi="Arial Narrow"/>
          <w:sz w:val="26"/>
          <w:szCs w:val="26"/>
        </w:rPr>
      </w:pPr>
    </w:p>
    <w:p w:rsidR="009F0B1A" w:rsidRDefault="00957277">
      <w:pPr>
        <w:jc w:val="both"/>
        <w:rPr>
          <w:rFonts w:ascii="Arial Narrow" w:hAnsi="Arial Narrow"/>
          <w:sz w:val="26"/>
          <w:szCs w:val="26"/>
        </w:rPr>
      </w:pPr>
      <w:r>
        <w:rPr>
          <w:rFonts w:ascii="Arial Narrow" w:hAnsi="Arial Narrow"/>
          <w:sz w:val="26"/>
          <w:szCs w:val="26"/>
        </w:rPr>
        <w:t xml:space="preserve">La alcaldesa, en respuesta al Grupo Socialista sobre su gestión en el Cine Astoria,  ha calificado de “chapuza” el anterior proyecto ejecutado en este equipamiento, “que se puso en uso sin haber estado homologado; nosotros vamos a ejecutar un proyecto serio y adecuado a sus necesidades”, ha señalado, recordando, además, el mal estado en que encontraban otros espacios públicos e instalaciones municipales, como el Callejón de los Bolos, o el mercado de abastos, o el parque Salud Pérez </w:t>
      </w:r>
      <w:proofErr w:type="spellStart"/>
      <w:r>
        <w:rPr>
          <w:rFonts w:ascii="Arial Narrow" w:hAnsi="Arial Narrow"/>
          <w:sz w:val="26"/>
          <w:szCs w:val="26"/>
        </w:rPr>
        <w:t>Leyton</w:t>
      </w:r>
      <w:proofErr w:type="spellEnd"/>
      <w:r>
        <w:rPr>
          <w:rFonts w:ascii="Arial Narrow" w:hAnsi="Arial Narrow"/>
          <w:sz w:val="26"/>
          <w:szCs w:val="26"/>
        </w:rPr>
        <w:t xml:space="preserve">”. </w:t>
      </w:r>
    </w:p>
    <w:p w:rsidR="009F0B1A" w:rsidRDefault="009F0B1A">
      <w:pPr>
        <w:jc w:val="both"/>
        <w:rPr>
          <w:rFonts w:ascii="Arial Narrow" w:hAnsi="Arial Narrow"/>
          <w:sz w:val="26"/>
          <w:szCs w:val="26"/>
        </w:rPr>
      </w:pPr>
    </w:p>
    <w:p w:rsidR="009F0B1A" w:rsidRDefault="00957277">
      <w:pPr>
        <w:jc w:val="both"/>
        <w:rPr>
          <w:i/>
          <w:iCs/>
        </w:rPr>
      </w:pPr>
      <w:r>
        <w:rPr>
          <w:rFonts w:ascii="Arial Narrow" w:hAnsi="Arial Narrow"/>
          <w:i/>
          <w:iCs/>
          <w:sz w:val="26"/>
          <w:szCs w:val="26"/>
        </w:rPr>
        <w:lastRenderedPageBreak/>
        <w:t>(Se adjunta fotografía)</w:t>
      </w:r>
    </w:p>
    <w:p w:rsidR="009F0B1A" w:rsidRDefault="009F0B1A">
      <w:pPr>
        <w:jc w:val="both"/>
        <w:rPr>
          <w:rFonts w:ascii="Arial Narrow" w:hAnsi="Arial Narrow"/>
          <w:sz w:val="26"/>
          <w:szCs w:val="26"/>
        </w:rPr>
      </w:pPr>
    </w:p>
    <w:sectPr w:rsidR="009F0B1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B12" w:rsidRDefault="00957277">
      <w:r>
        <w:separator/>
      </w:r>
    </w:p>
  </w:endnote>
  <w:endnote w:type="continuationSeparator" w:id="0">
    <w:p w:rsidR="00330B12" w:rsidRDefault="0095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lef">
    <w:panose1 w:val="00000500000000000000"/>
    <w:charset w:val="00"/>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B12" w:rsidRDefault="00957277">
      <w:r>
        <w:separator/>
      </w:r>
    </w:p>
  </w:footnote>
  <w:footnote w:type="continuationSeparator" w:id="0">
    <w:p w:rsidR="00330B12" w:rsidRDefault="00957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1A" w:rsidRDefault="0095727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5"/>
                  <a:stretch>
                    <a:fillRect/>
                  </a:stretch>
                </pic:blipFill>
                <pic:spPr bwMode="auto">
                  <a:xfrm>
                    <a:off x="0" y="0"/>
                    <a:ext cx="3593465" cy="816610"/>
                  </a:xfrm>
                  <a:prstGeom prst="rect">
                    <a:avLst/>
                  </a:prstGeom>
                </pic:spPr>
              </pic:pic>
            </a:graphicData>
          </a:graphic>
        </wp:inline>
      </w:drawing>
    </w:r>
  </w:p>
  <w:p w:rsidR="009F0B1A" w:rsidRDefault="009F0B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1A"/>
    <w:rsid w:val="00330B12"/>
    <w:rsid w:val="004766AB"/>
    <w:rsid w:val="00957277"/>
    <w:rsid w:val="009F0B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19E0B-819A-4B97-9989-6B03343A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111">
    <w:name w:val="caption11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11">
    <w:name w:val="caption11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1640</Words>
  <Characters>9025</Characters>
  <Application>Microsoft Office Word</Application>
  <DocSecurity>0</DocSecurity>
  <Lines>75</Lines>
  <Paragraphs>21</Paragraphs>
  <ScaleCrop>false</ScaleCrop>
  <Company>Aytojerez</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33</cp:revision>
  <cp:lastPrinted>2026-05-29T11:00:00Z</cp:lastPrinted>
  <dcterms:created xsi:type="dcterms:W3CDTF">2026-05-25T09:13:00Z</dcterms:created>
  <dcterms:modified xsi:type="dcterms:W3CDTF">2026-05-29T09:21:00Z</dcterms:modified>
  <dc:language>es-ES</dc:language>
</cp:coreProperties>
</file>