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C0" w:rsidRDefault="003C38C0">
      <w:pPr>
        <w:jc w:val="both"/>
        <w:rPr>
          <w:rFonts w:ascii="Arial Narrow" w:hAnsi="Arial Narrow"/>
          <w:b/>
          <w:bCs/>
          <w:sz w:val="40"/>
          <w:szCs w:val="40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25760" w:rsidRPr="00E25760" w:rsidTr="00E2576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25760" w:rsidRPr="00E257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E25760" w:rsidRPr="00E2576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60" w:type="dxa"/>
                          <w:left w:w="300" w:type="dxa"/>
                          <w:bottom w:w="6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0"/>
                        </w:tblGrid>
                        <w:tr w:rsidR="00E25760" w:rsidRPr="00E25760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25760" w:rsidRPr="00E2576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60" w:type="dxa"/>
                                      <w:left w:w="0" w:type="dxa"/>
                                      <w:bottom w:w="4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E25760" w:rsidRPr="00E25760" w:rsidRDefault="00E25760" w:rsidP="00E25760">
                                    <w:pPr>
                                      <w:suppressAutoHyphens w:val="0"/>
                                      <w:rPr>
                                        <w:rFonts w:ascii="Arial Narrow" w:eastAsia="Times New Roman" w:hAnsi="Arial Narrow" w:cs="Times New Roman"/>
                                        <w:color w:val="45484E"/>
                                        <w:sz w:val="40"/>
                                        <w:szCs w:val="40"/>
                                        <w:lang w:eastAsia="es-ES"/>
                                      </w:rPr>
                                    </w:pPr>
                                    <w:r w:rsidRPr="00E25760">
                                      <w:rPr>
                                        <w:rFonts w:ascii="Arial Narrow" w:eastAsia="Times New Roman" w:hAnsi="Arial Narrow" w:cs="Arial"/>
                                        <w:b/>
                                        <w:bCs/>
                                        <w:color w:val="000000"/>
                                        <w:sz w:val="40"/>
                                        <w:szCs w:val="40"/>
                                        <w:bdr w:val="none" w:sz="0" w:space="0" w:color="auto" w:frame="1"/>
                                        <w:lang w:eastAsia="es-ES"/>
                                      </w:rPr>
                                      <w:t>Jerez reunirá a director</w:t>
                                    </w:r>
                                    <w:r>
                                      <w:rPr>
                                        <w:rFonts w:ascii="Arial Narrow" w:eastAsia="Times New Roman" w:hAnsi="Arial Narrow" w:cs="Arial"/>
                                        <w:b/>
                                        <w:bCs/>
                                        <w:color w:val="000000"/>
                                        <w:sz w:val="40"/>
                                        <w:szCs w:val="40"/>
                                        <w:bdr w:val="none" w:sz="0" w:space="0" w:color="auto" w:frame="1"/>
                                        <w:lang w:eastAsia="es-ES"/>
                                      </w:rPr>
                                      <w:t>es</w:t>
                                    </w:r>
                                    <w:r w:rsidRPr="00E25760">
                                      <w:rPr>
                                        <w:rFonts w:ascii="Arial Narrow" w:eastAsia="Times New Roman" w:hAnsi="Arial Narrow" w:cs="Arial"/>
                                        <w:b/>
                                        <w:bCs/>
                                        <w:color w:val="000000"/>
                                        <w:sz w:val="40"/>
                                        <w:szCs w:val="40"/>
                                        <w:bdr w:val="none" w:sz="0" w:space="0" w:color="auto" w:frame="1"/>
                                        <w:lang w:eastAsia="es-ES"/>
                                      </w:rPr>
                                      <w:t xml:space="preserve"> del Instituto Cervantes de más de 50 países de los 5 continentes el próximo mes de julio</w:t>
                                    </w:r>
                                  </w:p>
                                </w:tc>
                              </w:tr>
                            </w:tbl>
                            <w:p w:rsidR="00E25760" w:rsidRPr="00E25760" w:rsidRDefault="00E25760" w:rsidP="00E25760">
                              <w:pPr>
                                <w:suppressAutoHyphens w:val="0"/>
                                <w:rPr>
                                  <w:rFonts w:ascii="Times New Roman" w:eastAsia="Times New Roman" w:hAnsi="Times New Roman" w:cs="Times New Roman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E25760" w:rsidRPr="00E25760" w:rsidRDefault="00E25760" w:rsidP="00E25760">
                        <w:pPr>
                          <w:suppressAutoHyphens w:val="0"/>
                          <w:rPr>
                            <w:rFonts w:ascii="Times New Roman" w:eastAsia="Times New Roman" w:hAnsi="Times New Roman" w:cs="Times New Roman"/>
                            <w:lang w:eastAsia="es-ES"/>
                          </w:rPr>
                        </w:pPr>
                      </w:p>
                    </w:tc>
                  </w:tr>
                </w:tbl>
                <w:p w:rsidR="00E25760" w:rsidRPr="00E25760" w:rsidRDefault="00E25760" w:rsidP="00E25760">
                  <w:pPr>
                    <w:suppressAutoHyphens w:val="0"/>
                    <w:rPr>
                      <w:rFonts w:ascii="Times New Roman" w:eastAsia="Times New Roman" w:hAnsi="Times New Roman" w:cs="Times New Roman"/>
                      <w:lang w:eastAsia="es-ES"/>
                    </w:rPr>
                  </w:pPr>
                </w:p>
              </w:tc>
            </w:tr>
          </w:tbl>
          <w:p w:rsidR="00E25760" w:rsidRPr="00E25760" w:rsidRDefault="00E25760" w:rsidP="00E2576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</w:pPr>
          </w:p>
        </w:tc>
      </w:tr>
      <w:tr w:rsidR="00E25760" w:rsidRPr="00E25760" w:rsidTr="00E2576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25760" w:rsidRPr="00E257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E25760" w:rsidRPr="00E2576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8400"/>
                        </w:tblGrid>
                        <w:tr w:rsidR="00E25760" w:rsidRPr="00E25760">
                          <w:tc>
                            <w:tcPr>
                              <w:tcW w:w="3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E25760" w:rsidRPr="00E25760" w:rsidRDefault="00E25760" w:rsidP="00E25760">
                              <w:pPr>
                                <w:suppressAutoHyphens w:val="0"/>
                                <w:rPr>
                                  <w:rFonts w:ascii="Times New Roman" w:eastAsia="Times New Roman" w:hAnsi="Times New Roman" w:cs="Times New Roman"/>
                                  <w:lang w:eastAsia="es-ES"/>
                                </w:rPr>
                              </w:pPr>
                              <w:r w:rsidRPr="00E25760">
                                <w:rPr>
                                  <w:rFonts w:ascii="Times New Roman" w:eastAsia="Times New Roman" w:hAnsi="Times New Roman" w:cs="Times New Roman"/>
                                  <w:lang w:eastAsia="es-ES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25760" w:rsidRPr="00E25760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E25760" w:rsidRPr="00E25760" w:rsidRDefault="00E25760" w:rsidP="00E25760">
                                    <w:pPr>
                                      <w:suppressAutoHyphens w:val="0"/>
                                      <w:rPr>
                                        <w:rFonts w:ascii="Times New Roman" w:eastAsia="Times New Roman" w:hAnsi="Times New Roman" w:cs="Times New Roman"/>
                                        <w:lang w:eastAsia="es-ES"/>
                                      </w:rPr>
                                    </w:pPr>
                                    <w:r w:rsidRPr="00E25760">
                                      <w:rPr>
                                        <w:rFonts w:ascii="Times New Roman" w:eastAsia="Times New Roman" w:hAnsi="Times New Roman" w:cs="Times New Roman"/>
                                        <w:lang w:eastAsia="es-ES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E25760" w:rsidRPr="00E2576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E25760" w:rsidRPr="00E25760" w:rsidRDefault="00E25760" w:rsidP="00E25760">
                                    <w:pPr>
                                      <w:suppressAutoHyphens w:val="0"/>
                                      <w:rPr>
                                        <w:rFonts w:ascii="Helvetica" w:eastAsia="Times New Roman" w:hAnsi="Helvetica" w:cs="Times New Roman"/>
                                        <w:color w:val="7B7B7B"/>
                                        <w:sz w:val="20"/>
                                        <w:szCs w:val="20"/>
                                        <w:lang w:eastAsia="es-ES"/>
                                      </w:rPr>
                                    </w:pPr>
                                    <w:r w:rsidRPr="00E25760">
                                      <w:rPr>
                                        <w:rFonts w:ascii="Arial Narrow" w:eastAsia="Times New Roman" w:hAnsi="Arial Narrow" w:cs="Arial"/>
                                        <w:bCs/>
                                        <w:color w:val="000000"/>
                                        <w:sz w:val="36"/>
                                        <w:szCs w:val="36"/>
                                        <w:bdr w:val="none" w:sz="0" w:space="0" w:color="auto" w:frame="1"/>
                                        <w:lang w:eastAsia="es-ES"/>
                                      </w:rPr>
                                      <w:t>Las sesiones se realizarán en distintas localizaciones así como otras actividades en Cádiz y Rota</w:t>
                                    </w:r>
                                    <w:r w:rsidRPr="00E25760">
                                      <w:rPr>
                                        <w:rFonts w:ascii="Arial Narrow" w:eastAsia="Times New Roman" w:hAnsi="Arial Narrow" w:cs="Times New Roman"/>
                                        <w:color w:val="7B7B7B"/>
                                        <w:sz w:val="36"/>
                                        <w:szCs w:val="36"/>
                                        <w:lang w:eastAsia="es-ES"/>
                                      </w:rPr>
                                      <w:br/>
                                    </w:r>
                                    <w:r w:rsidRPr="00E25760">
                                      <w:rPr>
                                        <w:rFonts w:ascii="Helvetica" w:eastAsia="Times New Roman" w:hAnsi="Helvetica" w:cs="Times New Roman"/>
                                        <w:color w:val="7B7B7B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 Narrow" w:eastAsia="Times New Roman" w:hAnsi="Arial Narrow" w:cs="Arial"/>
                                        <w:bCs/>
                                        <w:color w:val="000000"/>
                                        <w:sz w:val="36"/>
                                        <w:szCs w:val="36"/>
                                        <w:bdr w:val="none" w:sz="0" w:space="0" w:color="auto" w:frame="1"/>
                                        <w:lang w:eastAsia="es-ES"/>
                                      </w:rPr>
                                      <w:t xml:space="preserve">La alcaldesa de Jerez ha firmado el convenio con el director del Instituto Cervantes, </w:t>
                                    </w:r>
                                    <w:r w:rsidRPr="00E25760">
                                      <w:rPr>
                                        <w:rFonts w:ascii="Arial Narrow" w:eastAsia="Times New Roman" w:hAnsi="Arial Narrow" w:cs="Arial"/>
                                        <w:bCs/>
                                        <w:color w:val="000000"/>
                                        <w:sz w:val="36"/>
                                        <w:szCs w:val="36"/>
                                        <w:bdr w:val="none" w:sz="0" w:space="0" w:color="auto" w:frame="1"/>
                                        <w:lang w:eastAsia="es-ES"/>
                                      </w:rPr>
                                      <w:t>García Montero y la Fundación Caballero Bonald</w:t>
                                    </w:r>
                                  </w:p>
                                </w:tc>
                              </w:tr>
                            </w:tbl>
                            <w:p w:rsidR="00E25760" w:rsidRPr="00E25760" w:rsidRDefault="00E25760" w:rsidP="00E25760">
                              <w:pPr>
                                <w:suppressAutoHyphens w:val="0"/>
                                <w:rPr>
                                  <w:rFonts w:ascii="Times New Roman" w:eastAsia="Times New Roman" w:hAnsi="Times New Roman" w:cs="Times New Roman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E25760" w:rsidRPr="00E25760" w:rsidRDefault="00E25760" w:rsidP="00E25760">
                        <w:pPr>
                          <w:suppressAutoHyphens w:val="0"/>
                          <w:rPr>
                            <w:rFonts w:ascii="Times New Roman" w:eastAsia="Times New Roman" w:hAnsi="Times New Roman" w:cs="Times New Roman"/>
                            <w:lang w:eastAsia="es-ES"/>
                          </w:rPr>
                        </w:pPr>
                      </w:p>
                    </w:tc>
                  </w:tr>
                </w:tbl>
                <w:p w:rsidR="00E25760" w:rsidRPr="00E25760" w:rsidRDefault="00E25760" w:rsidP="00E25760">
                  <w:pPr>
                    <w:suppressAutoHyphens w:val="0"/>
                    <w:rPr>
                      <w:rFonts w:ascii="Times New Roman" w:eastAsia="Times New Roman" w:hAnsi="Times New Roman" w:cs="Times New Roman"/>
                      <w:lang w:eastAsia="es-ES"/>
                    </w:rPr>
                  </w:pPr>
                </w:p>
              </w:tc>
            </w:tr>
          </w:tbl>
          <w:p w:rsidR="00E25760" w:rsidRPr="00E25760" w:rsidRDefault="00E25760" w:rsidP="00E2576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ES"/>
              </w:rPr>
            </w:pPr>
          </w:p>
        </w:tc>
      </w:tr>
    </w:tbl>
    <w:p w:rsidR="00E6228F" w:rsidRDefault="00E6228F">
      <w:pPr>
        <w:rPr>
          <w:rFonts w:ascii="Arial Narrow" w:hAnsi="Arial Narrow"/>
          <w:sz w:val="36"/>
          <w:szCs w:val="36"/>
        </w:rPr>
      </w:pP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3 de junio de 2026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La ciudad de Jerez de la Frontera  acogerá por primera vez a finales del mes de julio la Reunión Anual de Directores del Instituto Cervantes, una cumbre que congregará a casi un centenar de directivos de esta institución y en la que habitualmente está presente la Reina </w:t>
      </w:r>
      <w:proofErr w:type="spellStart"/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Letizia</w:t>
      </w:r>
      <w:proofErr w:type="spellEnd"/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La alcaldesa de Jerez, María José García-Pelayo, ha firmado con e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l director del Instituto Cervantes, </w:t>
      </w:r>
      <w:r w:rsidRPr="00E25760">
        <w:rPr>
          <w:rStyle w:val="Textoennegrita"/>
          <w:rFonts w:ascii="Arial Narrow" w:hAnsi="Arial Narrow" w:cs="Arial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Luis García Montero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, en la Antesala del Cabildo Viejo de Jerez el convenio junto la Fundación Caballero Bonald y la Fundación Andrés de Ribera, instituciones que colaborarán en la organización y celebración de este encuentro, que también estará presente en Cádiz y Rota a través de distintas actividades.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"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Para nosotros es muy importante esta convocatoria. El Cervantes tiene una red de más de cien centros repartidos por el mundo y una vez al año nos reunimos para pensar en conjunto la estrategia a seguir y las posibilidades de desarrollo de la cultura de</w:t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la lengua española en el mundo"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, ha señalado García Montero, quien ha adelantado además que habrá sesiones especiales en las que se recordará la figura del poeta </w:t>
      </w:r>
      <w:hyperlink r:id="rId7" w:tgtFrame="_blank" w:history="1">
        <w:r w:rsidRPr="00E25760">
          <w:rPr>
            <w:rStyle w:val="Hipervnculo"/>
            <w:rFonts w:ascii="Arial Narrow" w:hAnsi="Arial Narrow" w:cs="Arial"/>
            <w:color w:val="CC0000"/>
            <w:sz w:val="26"/>
            <w:szCs w:val="26"/>
            <w:bdr w:val="none" w:sz="0" w:space="0" w:color="auto" w:frame="1"/>
            <w:shd w:val="clear" w:color="auto" w:fill="FFFFFF"/>
          </w:rPr>
          <w:t>José Manuel Caballero Bonald</w:t>
        </w:r>
      </w:hyperlink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 en el centenario de su nacimiento.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"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Estoy agradecido a todas las instituciones para crear esta dinámica que haga posible que nuestros directores conozcan Jerez y sean después invitados a llevar a esta ciudad a lo largo de todo el mundo: Jerez es un punto de referencia de la</w:t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historia y la cultura española"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, ha añadido.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En el acto de la firma han participado, además del director del Cervantes, la alcaldesa de Jerez, </w:t>
      </w:r>
      <w:r w:rsidRPr="00E25760">
        <w:rPr>
          <w:rStyle w:val="Textoennegrita"/>
          <w:rFonts w:ascii="Arial Narrow" w:hAnsi="Arial Narrow" w:cs="Arial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María José García-Pelayo</w:t>
      </w:r>
      <w:r w:rsidRPr="00E25760">
        <w:rPr>
          <w:rStyle w:val="Textoennegrita"/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;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 y la presidenta de la Fundación Caballero Bonald, </w:t>
      </w:r>
      <w:r w:rsidRPr="00E25760">
        <w:rPr>
          <w:rStyle w:val="Textoennegrita"/>
          <w:rFonts w:ascii="Arial Narrow" w:hAnsi="Arial Narrow" w:cs="Arial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Julia Caballero </w:t>
      </w:r>
      <w:proofErr w:type="spellStart"/>
      <w:r w:rsidRPr="00E25760">
        <w:rPr>
          <w:rStyle w:val="Textoennegrita"/>
          <w:rFonts w:ascii="Arial Narrow" w:hAnsi="Arial Narrow" w:cs="Arial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Ramis</w:t>
      </w:r>
      <w:proofErr w:type="spellEnd"/>
      <w:r w:rsidRPr="00E25760">
        <w:rPr>
          <w:rFonts w:ascii="Arial Narrow" w:hAnsi="Arial Narrow" w:cs="Arial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br/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La alcaldesa de Jere</w:t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z ha destacada que se trata de "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una magnífica oportunidad para </w:t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promocionar el legado del genio"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Caballero Bonald, al tiempo que ha agradecido al Cervantes haber elegido esta ciudad como base de trabajo. «</w:t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"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Es una de las instituciones que más hace por la cultura española, no solo por promocionarla, sino también por darla a conocer, y es</w:t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algo que Jerez va a aprovechar"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, ha destacado.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Por su parte, la presidenta de la Fundación Caballero Bonald, Julia Caballero, ha afirmado que este encuentro es motivo de «un orgullo muy grande» para su entidad. «Desde la funda</w:t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ción intentamos trabajar cada dí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a por difundir y promover la cultura y esto va a suponer un gran impulso </w:t>
      </w:r>
      <w:r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para que amplíe sus objetivos má</w:t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s allá del ámbito meramente local», ha celebrado.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En este documento se recoge cómo este evento anual tiene «una importante repercusión en el ámbito cultural» en relación con las ciudades de acogida y la posibilidad de que las reuniones que se puedan desarrollar allí también comporten la celebración de otras actividades paralelas.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Es por ello que en los acuerdos se establece que las instituciones firmantes invitan al Instituto Cervantes a sus sedes o espacios para las sesiones de inauguración, clausura, trabajo y tareas de oficina del personal de apoyo de la Reunión Anual de Directores, así como a otras actividades que se puedan organizar con ocasión de dicho encuentro.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Style w:val="Textoennegrita"/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Pr="00E25760">
        <w:rPr>
          <w:rStyle w:val="Textoennegrita"/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Jerez, primera vez que acogerá la Reunión Anual de Directores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El Instituto Cervantes viene celebrando desde el año 2005 (excepto en 2020 a causa de la pandemia) reuniones anuales con los directores de sus centros en el exterior y todo su equipo directivo, en las que se debaten sus líneas de actuación para la promoción internacional de la lengua española y la cultura.</w:t>
      </w:r>
    </w:p>
    <w:p w:rsid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Esta será la primera vez que se celebre en Jerez. Hasta ahora, doce han sido las comunidades autónomas que han acogido estas sesiones: Andalucía, Cataluña, Castilla y León, Castilla-La Mancha, Madrid, Cantabria, Extremadura, La Rioja, Galicia, País Vasco, Comunidad Valenciana, el Principado de Asturias, Cataluña y Canarias.</w:t>
      </w:r>
    </w:p>
    <w:p w:rsidR="000F4A03" w:rsidRPr="00E25760" w:rsidRDefault="00E25760" w:rsidP="00E25760">
      <w:pPr>
        <w:pStyle w:val="Textoindependiente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E25760">
        <w:rPr>
          <w:rFonts w:ascii="Arial Narrow" w:hAnsi="Arial Narrow"/>
          <w:color w:val="7B7B7B"/>
          <w:sz w:val="26"/>
          <w:szCs w:val="26"/>
        </w:rPr>
        <w:br/>
      </w:r>
      <w:r w:rsidRPr="00E25760">
        <w:rPr>
          <w:rFonts w:ascii="Arial Narrow" w:hAnsi="Arial Narrow" w:cs="Arial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sectPr w:rsidR="000F4A03" w:rsidRPr="00E25760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F0" w:rsidRDefault="00B272F0">
      <w:r>
        <w:separator/>
      </w:r>
    </w:p>
  </w:endnote>
  <w:endnote w:type="continuationSeparator" w:id="0">
    <w:p w:rsidR="00B272F0" w:rsidRDefault="00B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F0" w:rsidRDefault="00B272F0">
      <w:r>
        <w:separator/>
      </w:r>
    </w:p>
  </w:footnote>
  <w:footnote w:type="continuationSeparator" w:id="0">
    <w:p w:rsidR="00B272F0" w:rsidRDefault="00B27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C0" w:rsidRDefault="0043127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5A56D5C" wp14:editId="66615CA1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38C0" w:rsidRDefault="003C38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151"/>
    <w:multiLevelType w:val="multilevel"/>
    <w:tmpl w:val="FE14E3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3F39FD"/>
    <w:multiLevelType w:val="multilevel"/>
    <w:tmpl w:val="ACA6E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C95E65"/>
    <w:multiLevelType w:val="multilevel"/>
    <w:tmpl w:val="370297E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A5220A"/>
    <w:multiLevelType w:val="multilevel"/>
    <w:tmpl w:val="078A9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7036F2"/>
    <w:multiLevelType w:val="multilevel"/>
    <w:tmpl w:val="4440C8E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C0"/>
    <w:rsid w:val="000B6D25"/>
    <w:rsid w:val="000D56F4"/>
    <w:rsid w:val="000E5DBC"/>
    <w:rsid w:val="000F4A03"/>
    <w:rsid w:val="0013782D"/>
    <w:rsid w:val="00154715"/>
    <w:rsid w:val="001857B3"/>
    <w:rsid w:val="00197151"/>
    <w:rsid w:val="001A46BD"/>
    <w:rsid w:val="001D5668"/>
    <w:rsid w:val="00216894"/>
    <w:rsid w:val="00246AD7"/>
    <w:rsid w:val="002B4342"/>
    <w:rsid w:val="002B66FF"/>
    <w:rsid w:val="002C1A72"/>
    <w:rsid w:val="002D28F0"/>
    <w:rsid w:val="003878C6"/>
    <w:rsid w:val="003C38C0"/>
    <w:rsid w:val="003D1507"/>
    <w:rsid w:val="00410EC5"/>
    <w:rsid w:val="00431271"/>
    <w:rsid w:val="00460F55"/>
    <w:rsid w:val="00472343"/>
    <w:rsid w:val="004F4376"/>
    <w:rsid w:val="005044DA"/>
    <w:rsid w:val="0059570D"/>
    <w:rsid w:val="005A11AB"/>
    <w:rsid w:val="005F2881"/>
    <w:rsid w:val="00613F32"/>
    <w:rsid w:val="00633B53"/>
    <w:rsid w:val="006941FD"/>
    <w:rsid w:val="006F7E5B"/>
    <w:rsid w:val="0087622F"/>
    <w:rsid w:val="00887C83"/>
    <w:rsid w:val="008C0437"/>
    <w:rsid w:val="008F0FD1"/>
    <w:rsid w:val="0090243E"/>
    <w:rsid w:val="00922419"/>
    <w:rsid w:val="00967635"/>
    <w:rsid w:val="00973319"/>
    <w:rsid w:val="009D7255"/>
    <w:rsid w:val="009E6B36"/>
    <w:rsid w:val="009F05EC"/>
    <w:rsid w:val="00A45515"/>
    <w:rsid w:val="00AF42FD"/>
    <w:rsid w:val="00B240D9"/>
    <w:rsid w:val="00B272F0"/>
    <w:rsid w:val="00B326D0"/>
    <w:rsid w:val="00B91F47"/>
    <w:rsid w:val="00B930C8"/>
    <w:rsid w:val="00BA1E8E"/>
    <w:rsid w:val="00BF327A"/>
    <w:rsid w:val="00BF3551"/>
    <w:rsid w:val="00C61F5A"/>
    <w:rsid w:val="00C6509B"/>
    <w:rsid w:val="00CA54BD"/>
    <w:rsid w:val="00D06CED"/>
    <w:rsid w:val="00D5024B"/>
    <w:rsid w:val="00DA3C0D"/>
    <w:rsid w:val="00E25760"/>
    <w:rsid w:val="00E6228F"/>
    <w:rsid w:val="00EA1D58"/>
    <w:rsid w:val="00EB355E"/>
    <w:rsid w:val="00ED3737"/>
    <w:rsid w:val="00F15116"/>
    <w:rsid w:val="00F17C08"/>
    <w:rsid w:val="00F35D4D"/>
    <w:rsid w:val="00F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238B3-239C-44A3-9775-E51CED00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num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num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num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num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613F32"/>
    <w:rPr>
      <w:color w:val="0000FF"/>
      <w:u w:val="single"/>
    </w:rPr>
  </w:style>
  <w:style w:type="character" w:customStyle="1" w:styleId="normaltextrun">
    <w:name w:val="normaltextrun"/>
    <w:basedOn w:val="Fuentedeprrafopredeter"/>
    <w:qFormat/>
    <w:rsid w:val="008C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1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4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8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24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1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rvantes.es/bibliotecas_documentacion_espanol/creadores/caballero_bonald_jose_manue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2026-03-19T10:57:00Z</cp:lastPrinted>
  <dcterms:created xsi:type="dcterms:W3CDTF">2026-06-03T11:12:00Z</dcterms:created>
  <dcterms:modified xsi:type="dcterms:W3CDTF">2026-06-03T11:20:00Z</dcterms:modified>
  <dc:language>es-ES</dc:language>
</cp:coreProperties>
</file>