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CFD" w:rsidRDefault="00925F0C">
      <w:pPr>
        <w:widowControl w:val="0"/>
        <w:shd w:val="clear" w:color="auto" w:fill="FFFFFF"/>
        <w:tabs>
          <w:tab w:val="left" w:pos="729"/>
        </w:tabs>
      </w:pPr>
      <w:r>
        <w:rPr>
          <w:rFonts w:ascii="Arial Narrow" w:hAnsi="Arial Narrow"/>
          <w:b/>
          <w:bCs/>
          <w:sz w:val="40"/>
          <w:szCs w:val="40"/>
        </w:rPr>
        <w:t xml:space="preserve">El Pleno aprueba delegar en las </w:t>
      </w:r>
      <w:proofErr w:type="spellStart"/>
      <w:r>
        <w:rPr>
          <w:rFonts w:ascii="Arial Narrow" w:hAnsi="Arial Narrow"/>
          <w:b/>
          <w:bCs/>
          <w:sz w:val="40"/>
          <w:szCs w:val="40"/>
        </w:rPr>
        <w:t>ELAs</w:t>
      </w:r>
      <w:proofErr w:type="spellEnd"/>
      <w:r>
        <w:rPr>
          <w:rFonts w:ascii="Arial Narrow" w:hAnsi="Arial Narrow"/>
          <w:b/>
          <w:bCs/>
          <w:sz w:val="40"/>
          <w:szCs w:val="40"/>
        </w:rPr>
        <w:t xml:space="preserve"> la competencia de expedir documentos de empadronamiento para ampliar los servicios de proximidad y evitar desplazamientos</w:t>
      </w:r>
    </w:p>
    <w:p w:rsidR="004D1CFD" w:rsidRDefault="004D1CFD">
      <w:pPr>
        <w:widowControl w:val="0"/>
        <w:shd w:val="clear" w:color="auto" w:fill="FFFFFF"/>
        <w:tabs>
          <w:tab w:val="left" w:pos="729"/>
        </w:tabs>
        <w:rPr>
          <w:rFonts w:ascii="Arial Narrow" w:hAnsi="Arial Narrow"/>
          <w:b/>
          <w:bCs/>
          <w:sz w:val="40"/>
          <w:szCs w:val="40"/>
        </w:rPr>
      </w:pPr>
    </w:p>
    <w:p w:rsidR="004D1CFD" w:rsidRDefault="00925F0C">
      <w:pPr>
        <w:widowControl w:val="0"/>
        <w:shd w:val="clear" w:color="auto" w:fill="FFFFFF"/>
        <w:tabs>
          <w:tab w:val="left" w:pos="729"/>
        </w:tabs>
        <w:rPr>
          <w:sz w:val="36"/>
          <w:szCs w:val="36"/>
        </w:rPr>
      </w:pPr>
      <w:r>
        <w:rPr>
          <w:rFonts w:ascii="Arial Narrow" w:hAnsi="Arial Narrow"/>
          <w:sz w:val="36"/>
          <w:szCs w:val="36"/>
        </w:rPr>
        <w:t xml:space="preserve">Luz verde a la modificación de la Ordenanza Fiscal de la tasa por utilización de puestos de mercados de abastos que facilitará diversificar la oferta y una mayor ocupación de puestos </w:t>
      </w:r>
    </w:p>
    <w:p w:rsidR="004D1CFD" w:rsidRDefault="004D1CFD">
      <w:pPr>
        <w:pStyle w:val="Textoindependiente"/>
        <w:spacing w:after="0" w:line="240" w:lineRule="atLeast"/>
        <w:jc w:val="both"/>
        <w:rPr>
          <w:rFonts w:ascii="Arial Narrow" w:hAnsi="Arial Narrow"/>
          <w:color w:val="000000"/>
          <w:sz w:val="26"/>
          <w:szCs w:val="26"/>
        </w:rPr>
      </w:pPr>
      <w:bookmarkStart w:id="0" w:name="Xdcd77f88863db935ce662522218df7bcc2c3256"/>
    </w:p>
    <w:p w:rsidR="004D1CFD" w:rsidRDefault="00925F0C">
      <w:pPr>
        <w:pStyle w:val="FirstParagraph"/>
        <w:spacing w:line="240" w:lineRule="auto"/>
        <w:jc w:val="both"/>
        <w:rPr>
          <w:rFonts w:ascii="Arial Narrow" w:hAnsi="Arial Narrow"/>
          <w:sz w:val="26"/>
          <w:szCs w:val="26"/>
        </w:rPr>
      </w:pPr>
      <w:r>
        <w:rPr>
          <w:rFonts w:ascii="Arial Narrow" w:hAnsi="Arial Narrow"/>
          <w:b/>
          <w:bCs/>
          <w:sz w:val="26"/>
          <w:szCs w:val="26"/>
        </w:rPr>
        <w:t>26 de junio de 2026.</w:t>
      </w:r>
      <w:bookmarkEnd w:id="0"/>
      <w:r>
        <w:rPr>
          <w:rFonts w:ascii="Arial Narrow" w:hAnsi="Arial Narrow"/>
          <w:b/>
          <w:bCs/>
          <w:sz w:val="26"/>
          <w:szCs w:val="26"/>
        </w:rPr>
        <w:t xml:space="preserve">  </w:t>
      </w:r>
      <w:r>
        <w:rPr>
          <w:rFonts w:ascii="Arial Narrow" w:hAnsi="Arial Narrow"/>
          <w:sz w:val="26"/>
          <w:szCs w:val="26"/>
        </w:rPr>
        <w:t>El Pleno ha aprobado iniciar el proceso administr</w:t>
      </w:r>
      <w:r>
        <w:rPr>
          <w:rFonts w:ascii="Arial Narrow" w:hAnsi="Arial Narrow"/>
          <w:sz w:val="26"/>
          <w:szCs w:val="26"/>
        </w:rPr>
        <w:t>ativo para delegar en las</w:t>
      </w:r>
      <w:r>
        <w:rPr>
          <w:rFonts w:ascii="Arial Narrow" w:hAnsi="Arial Narrow"/>
          <w:sz w:val="26"/>
          <w:szCs w:val="26"/>
        </w:rPr>
        <w:t xml:space="preserve"> Entidades Locales Autónomas de El Torno, </w:t>
      </w:r>
      <w:proofErr w:type="spellStart"/>
      <w:r>
        <w:rPr>
          <w:rFonts w:ascii="Arial Narrow" w:hAnsi="Arial Narrow"/>
          <w:sz w:val="26"/>
          <w:szCs w:val="26"/>
        </w:rPr>
        <w:t>Estella</w:t>
      </w:r>
      <w:proofErr w:type="spellEnd"/>
      <w:r>
        <w:rPr>
          <w:rFonts w:ascii="Arial Narrow" w:hAnsi="Arial Narrow"/>
          <w:sz w:val="26"/>
          <w:szCs w:val="26"/>
        </w:rPr>
        <w:t xml:space="preserve"> del Marqués, </w:t>
      </w:r>
      <w:proofErr w:type="spellStart"/>
      <w:r>
        <w:rPr>
          <w:rFonts w:ascii="Arial Narrow" w:hAnsi="Arial Narrow"/>
          <w:sz w:val="26"/>
          <w:szCs w:val="26"/>
        </w:rPr>
        <w:t>Guadalcacín</w:t>
      </w:r>
      <w:proofErr w:type="spellEnd"/>
      <w:r>
        <w:rPr>
          <w:rFonts w:ascii="Arial Narrow" w:hAnsi="Arial Narrow"/>
          <w:sz w:val="26"/>
          <w:szCs w:val="26"/>
        </w:rPr>
        <w:t xml:space="preserve">, La Barca de la Florida, San Isidro del Guadalete, Nueva Jarilla y </w:t>
      </w:r>
      <w:proofErr w:type="spellStart"/>
      <w:r>
        <w:rPr>
          <w:rFonts w:ascii="Arial Narrow" w:hAnsi="Arial Narrow"/>
          <w:sz w:val="26"/>
          <w:szCs w:val="26"/>
        </w:rPr>
        <w:t>Torrecera</w:t>
      </w:r>
      <w:proofErr w:type="spellEnd"/>
      <w:r>
        <w:rPr>
          <w:rFonts w:ascii="Arial Narrow" w:hAnsi="Arial Narrow"/>
          <w:sz w:val="26"/>
          <w:szCs w:val="26"/>
        </w:rPr>
        <w:t xml:space="preserve"> la competencia para expedir documentos acreditativos de empadronamiento de los </w:t>
      </w:r>
      <w:r>
        <w:rPr>
          <w:rFonts w:ascii="Arial Narrow" w:hAnsi="Arial Narrow"/>
          <w:sz w:val="26"/>
          <w:szCs w:val="26"/>
        </w:rPr>
        <w:t xml:space="preserve">vecinos residentes en sus respectivas circunscripciones territoriales. </w:t>
      </w:r>
    </w:p>
    <w:p w:rsidR="004D1CFD" w:rsidRDefault="00925F0C">
      <w:pPr>
        <w:spacing w:before="240" w:after="180"/>
        <w:jc w:val="both"/>
        <w:rPr>
          <w:rFonts w:ascii="Arial Narrow" w:hAnsi="Arial Narrow"/>
          <w:sz w:val="26"/>
          <w:szCs w:val="26"/>
        </w:rPr>
      </w:pPr>
      <w:r>
        <w:rPr>
          <w:rFonts w:ascii="Arial Narrow" w:hAnsi="Arial Narrow"/>
          <w:sz w:val="26"/>
          <w:szCs w:val="26"/>
        </w:rPr>
        <w:t xml:space="preserve">La teniente de alcaldesa de Desarrollo Rural, Susana Sánchez, ha felicitado a los alcaldes de </w:t>
      </w:r>
      <w:proofErr w:type="spellStart"/>
      <w:r>
        <w:rPr>
          <w:rFonts w:ascii="Arial Narrow" w:hAnsi="Arial Narrow"/>
          <w:sz w:val="26"/>
          <w:szCs w:val="26"/>
        </w:rPr>
        <w:t>ELAs</w:t>
      </w:r>
      <w:proofErr w:type="spellEnd"/>
      <w:r>
        <w:rPr>
          <w:rFonts w:ascii="Arial Narrow" w:hAnsi="Arial Narrow"/>
          <w:sz w:val="26"/>
          <w:szCs w:val="26"/>
        </w:rPr>
        <w:t xml:space="preserve"> que se encontraban en la Sala de Plenos para asistir al debate de un asunto “que repr</w:t>
      </w:r>
      <w:r>
        <w:rPr>
          <w:rFonts w:ascii="Arial Narrow" w:hAnsi="Arial Narrow"/>
          <w:sz w:val="26"/>
          <w:szCs w:val="26"/>
        </w:rPr>
        <w:t xml:space="preserve">esenta un hito en su gestión”, explicando que esta iniciativa da respuesta a la solicitud expresa trasladada a Medio Rural por los presidentes de estas </w:t>
      </w:r>
      <w:proofErr w:type="spellStart"/>
      <w:r>
        <w:rPr>
          <w:rFonts w:ascii="Arial Narrow" w:hAnsi="Arial Narrow"/>
          <w:sz w:val="26"/>
          <w:szCs w:val="26"/>
        </w:rPr>
        <w:t>ELAs</w:t>
      </w:r>
      <w:proofErr w:type="spellEnd"/>
      <w:r>
        <w:rPr>
          <w:rFonts w:ascii="Arial Narrow" w:hAnsi="Arial Narrow"/>
          <w:sz w:val="26"/>
          <w:szCs w:val="26"/>
        </w:rPr>
        <w:t>, “y ahora la ponemos en marcha tras escucharles y atender sus necesidades, y teniendo en cuenta los</w:t>
      </w:r>
      <w:r>
        <w:rPr>
          <w:rFonts w:ascii="Arial Narrow" w:hAnsi="Arial Narrow"/>
          <w:sz w:val="26"/>
          <w:szCs w:val="26"/>
        </w:rPr>
        <w:t xml:space="preserve"> informes técnicos y jurídicos que valoran que la medida es coherente con los principios de eficacia, proximidad y buena administración. </w:t>
      </w:r>
    </w:p>
    <w:p w:rsidR="004D1CFD" w:rsidRDefault="00925F0C">
      <w:pPr>
        <w:spacing w:before="240" w:after="180"/>
        <w:jc w:val="both"/>
        <w:rPr>
          <w:rFonts w:ascii="Arial Narrow" w:hAnsi="Arial Narrow"/>
          <w:sz w:val="26"/>
          <w:szCs w:val="26"/>
        </w:rPr>
      </w:pPr>
      <w:r>
        <w:rPr>
          <w:rFonts w:ascii="Arial Narrow" w:hAnsi="Arial Narrow"/>
          <w:sz w:val="26"/>
          <w:szCs w:val="26"/>
        </w:rPr>
        <w:t>Igualmente, ha señalado que responde a una demanda generalizada de la ciudadanía de estas poblaciones, especialmente d</w:t>
      </w:r>
      <w:r>
        <w:rPr>
          <w:rFonts w:ascii="Arial Narrow" w:hAnsi="Arial Narrow"/>
          <w:sz w:val="26"/>
          <w:szCs w:val="26"/>
        </w:rPr>
        <w:t xml:space="preserve">e personas mayores, familias sin vehículo propio, vecinos con dificultades de movilidad y población residente en zonas rurales que deben desplazarse hasta la ciudad para obtener un documento básico y frecuente en la tramitación administrativa. </w:t>
      </w:r>
    </w:p>
    <w:p w:rsidR="004D1CFD" w:rsidRDefault="00925F0C">
      <w:pPr>
        <w:spacing w:before="240" w:after="180"/>
        <w:jc w:val="both"/>
        <w:rPr>
          <w:rFonts w:ascii="Arial Narrow" w:hAnsi="Arial Narrow"/>
          <w:sz w:val="26"/>
          <w:szCs w:val="26"/>
        </w:rPr>
      </w:pPr>
      <w:r>
        <w:rPr>
          <w:rFonts w:ascii="Arial Narrow" w:hAnsi="Arial Narrow"/>
          <w:sz w:val="26"/>
          <w:szCs w:val="26"/>
        </w:rPr>
        <w:t>Asimismo, S</w:t>
      </w:r>
      <w:r>
        <w:rPr>
          <w:rFonts w:ascii="Arial Narrow" w:hAnsi="Arial Narrow"/>
          <w:sz w:val="26"/>
          <w:szCs w:val="26"/>
        </w:rPr>
        <w:t xml:space="preserve">usana Sánchez ha señalado que las </w:t>
      </w:r>
      <w:proofErr w:type="spellStart"/>
      <w:r>
        <w:rPr>
          <w:rFonts w:ascii="Arial Narrow" w:hAnsi="Arial Narrow"/>
          <w:sz w:val="26"/>
          <w:szCs w:val="26"/>
        </w:rPr>
        <w:t>ELAs</w:t>
      </w:r>
      <w:proofErr w:type="spellEnd"/>
      <w:r>
        <w:rPr>
          <w:rFonts w:ascii="Arial Narrow" w:hAnsi="Arial Narrow"/>
          <w:sz w:val="26"/>
          <w:szCs w:val="26"/>
        </w:rPr>
        <w:t xml:space="preserve"> “están perfectamente preparadas y equipadas para la prestación de servicios de proximidad”, ya que cuentan con oficinas de atención al público plenamente operativas, personal administrativo con experiencia en la gesti</w:t>
      </w:r>
      <w:r>
        <w:rPr>
          <w:rFonts w:ascii="Arial Narrow" w:hAnsi="Arial Narrow"/>
          <w:sz w:val="26"/>
          <w:szCs w:val="26"/>
        </w:rPr>
        <w:t xml:space="preserve">ón de trámites municipales y una relación directa y cotidiana con sus vecinos y vecinas. </w:t>
      </w:r>
    </w:p>
    <w:p w:rsidR="004D1CFD" w:rsidRDefault="00925F0C">
      <w:pPr>
        <w:spacing w:before="240" w:after="180"/>
        <w:jc w:val="both"/>
        <w:rPr>
          <w:rFonts w:ascii="Arial Narrow" w:hAnsi="Arial Narrow"/>
          <w:sz w:val="26"/>
          <w:szCs w:val="26"/>
        </w:rPr>
      </w:pPr>
      <w:r>
        <w:rPr>
          <w:rFonts w:ascii="Arial Narrow" w:hAnsi="Arial Narrow"/>
          <w:sz w:val="26"/>
          <w:szCs w:val="26"/>
        </w:rPr>
        <w:t xml:space="preserve">Tal y como ha explicado la responsable municipal, esta medida de descentralización de la expedición de certificaciones </w:t>
      </w:r>
      <w:proofErr w:type="spellStart"/>
      <w:r>
        <w:rPr>
          <w:rFonts w:ascii="Arial Narrow" w:hAnsi="Arial Narrow"/>
          <w:sz w:val="26"/>
          <w:szCs w:val="26"/>
        </w:rPr>
        <w:t>padronales</w:t>
      </w:r>
      <w:proofErr w:type="spellEnd"/>
      <w:r>
        <w:rPr>
          <w:rFonts w:ascii="Arial Narrow" w:hAnsi="Arial Narrow"/>
          <w:sz w:val="26"/>
          <w:szCs w:val="26"/>
        </w:rPr>
        <w:t xml:space="preserve"> no altera la titularidad municipal d</w:t>
      </w:r>
      <w:r>
        <w:rPr>
          <w:rFonts w:ascii="Arial Narrow" w:hAnsi="Arial Narrow"/>
          <w:sz w:val="26"/>
          <w:szCs w:val="26"/>
        </w:rPr>
        <w:t xml:space="preserve">el Padrón de Habitantes, sino que habilita a las </w:t>
      </w:r>
      <w:proofErr w:type="spellStart"/>
      <w:r>
        <w:rPr>
          <w:rFonts w:ascii="Arial Narrow" w:hAnsi="Arial Narrow"/>
          <w:sz w:val="26"/>
          <w:szCs w:val="26"/>
        </w:rPr>
        <w:t>ELAs</w:t>
      </w:r>
      <w:proofErr w:type="spellEnd"/>
      <w:r>
        <w:rPr>
          <w:rFonts w:ascii="Arial Narrow" w:hAnsi="Arial Narrow"/>
          <w:sz w:val="26"/>
          <w:szCs w:val="26"/>
        </w:rPr>
        <w:t xml:space="preserve"> para la expedición de certificaciones, manteniendo el Ayuntamiento el control, supervisión y auditoría del sistema. </w:t>
      </w:r>
    </w:p>
    <w:p w:rsidR="004D1CFD" w:rsidRDefault="00925F0C">
      <w:pPr>
        <w:spacing w:before="240" w:after="180"/>
        <w:jc w:val="both"/>
        <w:rPr>
          <w:rFonts w:ascii="Arial Narrow" w:hAnsi="Arial Narrow"/>
          <w:sz w:val="26"/>
          <w:szCs w:val="26"/>
        </w:rPr>
      </w:pPr>
      <w:r>
        <w:rPr>
          <w:rFonts w:ascii="Arial Narrow" w:hAnsi="Arial Narrow"/>
          <w:sz w:val="26"/>
          <w:szCs w:val="26"/>
        </w:rPr>
        <w:lastRenderedPageBreak/>
        <w:t xml:space="preserve">En cuanto a sus beneficios, Susana Sánchez ha explicado que esta medida redundará en </w:t>
      </w:r>
      <w:r>
        <w:rPr>
          <w:rFonts w:ascii="Arial Narrow" w:hAnsi="Arial Narrow"/>
          <w:sz w:val="26"/>
          <w:szCs w:val="26"/>
        </w:rPr>
        <w:t>la mejora la accesibilidad del servicio público en el medio rural; contribuirá a reducir desplazamientos innecesarios a la sede central del Ayuntamiento; reforzará la autonomía y capacidad de gestión de las entidades locales a la vez que optimizará los rec</w:t>
      </w:r>
      <w:r>
        <w:rPr>
          <w:rFonts w:ascii="Arial Narrow" w:hAnsi="Arial Narrow"/>
          <w:sz w:val="26"/>
          <w:szCs w:val="26"/>
        </w:rPr>
        <w:t xml:space="preserve">ursos municipales al distribuir la carga administrativa; igualmente, ofrecerá mayores garantías de seguridad jurídica gracias a la intervención de Secretarías con habilitación nacional. </w:t>
      </w:r>
    </w:p>
    <w:p w:rsidR="004D1CFD" w:rsidRDefault="00925F0C">
      <w:pPr>
        <w:pStyle w:val="Textoindependiente"/>
        <w:spacing w:before="240" w:after="180" w:line="240" w:lineRule="auto"/>
        <w:jc w:val="both"/>
        <w:rPr>
          <w:rFonts w:ascii="Arial Narrow" w:hAnsi="Arial Narrow"/>
          <w:sz w:val="26"/>
          <w:szCs w:val="26"/>
        </w:rPr>
      </w:pPr>
      <w:r>
        <w:rPr>
          <w:rFonts w:ascii="Arial Narrow" w:hAnsi="Arial Narrow"/>
          <w:b/>
          <w:bCs/>
          <w:sz w:val="26"/>
          <w:szCs w:val="26"/>
        </w:rPr>
        <w:t>Modificación de la Ordenanza Fiscal de la tasa de puestos de mercados</w:t>
      </w:r>
    </w:p>
    <w:p w:rsidR="004D1CFD" w:rsidRDefault="00925F0C">
      <w:pPr>
        <w:pStyle w:val="Textoindependiente"/>
        <w:spacing w:before="240" w:after="180" w:line="240" w:lineRule="auto"/>
        <w:jc w:val="both"/>
        <w:rPr>
          <w:rFonts w:ascii="Arial Narrow" w:hAnsi="Arial Narrow"/>
          <w:sz w:val="26"/>
          <w:szCs w:val="26"/>
        </w:rPr>
      </w:pPr>
      <w:r>
        <w:rPr>
          <w:rFonts w:ascii="Arial Narrow" w:hAnsi="Arial Narrow"/>
          <w:sz w:val="26"/>
          <w:szCs w:val="26"/>
        </w:rPr>
        <w:t>El Pleno ha aprobado modificar la Modificación de la Ordenanza Fiscal 2.13 reguladora de la tasa por la utilización de los puestos de los mercados de abastos de la ciudad. Tras su aprobación inicial, el texto se publicó en el Boletín Oficial de la Provinc</w:t>
      </w:r>
      <w:r>
        <w:rPr>
          <w:rFonts w:ascii="Arial Narrow" w:hAnsi="Arial Narrow"/>
          <w:sz w:val="26"/>
          <w:szCs w:val="26"/>
        </w:rPr>
        <w:t xml:space="preserve">ia para ser sometido al periodo de exposición pública de 30 días, durante el cual se recibió una única alegación. </w:t>
      </w:r>
    </w:p>
    <w:p w:rsidR="004D1CFD" w:rsidRDefault="00925F0C">
      <w:pPr>
        <w:pStyle w:val="Textoindependiente"/>
        <w:spacing w:before="240" w:after="180" w:line="240" w:lineRule="auto"/>
        <w:jc w:val="both"/>
        <w:rPr>
          <w:rFonts w:ascii="Arial Narrow" w:hAnsi="Arial Narrow"/>
          <w:sz w:val="26"/>
          <w:szCs w:val="26"/>
        </w:rPr>
      </w:pPr>
      <w:r>
        <w:rPr>
          <w:rFonts w:ascii="Arial Narrow" w:hAnsi="Arial Narrow"/>
          <w:sz w:val="26"/>
          <w:szCs w:val="26"/>
        </w:rPr>
        <w:t xml:space="preserve">La delegada de Comercio, </w:t>
      </w:r>
      <w:proofErr w:type="spellStart"/>
      <w:r>
        <w:rPr>
          <w:rFonts w:ascii="Arial Narrow" w:hAnsi="Arial Narrow"/>
          <w:sz w:val="26"/>
          <w:szCs w:val="26"/>
        </w:rPr>
        <w:t>Nela</w:t>
      </w:r>
      <w:proofErr w:type="spellEnd"/>
      <w:r>
        <w:rPr>
          <w:rFonts w:ascii="Arial Narrow" w:hAnsi="Arial Narrow"/>
          <w:sz w:val="26"/>
          <w:szCs w:val="26"/>
        </w:rPr>
        <w:t xml:space="preserve"> García, ha explicado que “esta alegación no h</w:t>
      </w:r>
      <w:r>
        <w:rPr>
          <w:rFonts w:ascii="Arial Narrow" w:hAnsi="Arial Narrow"/>
          <w:sz w:val="26"/>
          <w:szCs w:val="26"/>
        </w:rPr>
        <w:t>ace alusión a las bases de la Ordenanza Fiscal, sino que a la fórmula</w:t>
      </w:r>
      <w:r>
        <w:rPr>
          <w:rFonts w:ascii="Arial Narrow" w:hAnsi="Arial Narrow"/>
          <w:sz w:val="26"/>
          <w:szCs w:val="26"/>
        </w:rPr>
        <w:t xml:space="preserve"> de gestión de los mercados de abastos, al sistema de funcionamiento o al acceso de los puestos. Son cuestiones de reglamento y no de la Ordenanza en sí. Por tanto, esas cuestiones tal y como se han planteado y tras su estudio, se ha desestimado y ya po</w:t>
      </w:r>
      <w:r>
        <w:rPr>
          <w:rFonts w:ascii="Arial Narrow" w:hAnsi="Arial Narrow"/>
          <w:sz w:val="26"/>
          <w:szCs w:val="26"/>
        </w:rPr>
        <w:t xml:space="preserve">demos aprobar definitivamente  la modificación del texto. </w:t>
      </w:r>
    </w:p>
    <w:p w:rsidR="004D1CFD" w:rsidRDefault="00925F0C">
      <w:pPr>
        <w:pStyle w:val="Textoindependiente"/>
        <w:spacing w:before="240" w:after="180" w:line="240" w:lineRule="auto"/>
        <w:jc w:val="both"/>
        <w:rPr>
          <w:rFonts w:ascii="Arial Narrow" w:hAnsi="Arial Narrow"/>
          <w:sz w:val="26"/>
          <w:szCs w:val="26"/>
        </w:rPr>
      </w:pPr>
      <w:r>
        <w:rPr>
          <w:rFonts w:ascii="Arial Narrow" w:hAnsi="Arial Narrow"/>
          <w:sz w:val="26"/>
          <w:szCs w:val="26"/>
        </w:rPr>
        <w:t>Tal y como ha recordado, esta iniciativa afecta a la tasa fiscal a aplicar a 14 espacios del Mercado Central que actualmente están cerrados, sin actividad, algunos incluso desde hace diez años, fac</w:t>
      </w:r>
      <w:r>
        <w:rPr>
          <w:rFonts w:ascii="Arial Narrow" w:hAnsi="Arial Narrow"/>
          <w:sz w:val="26"/>
          <w:szCs w:val="26"/>
        </w:rPr>
        <w:t>ilitando su cambio de uso para p</w:t>
      </w:r>
      <w:r>
        <w:rPr>
          <w:rFonts w:ascii="Arial Narrow" w:eastAsia="Times New Roman" w:hAnsi="Arial Narrow" w:cs="Times New Roman"/>
          <w:sz w:val="26"/>
          <w:szCs w:val="26"/>
          <w:lang w:eastAsia="es-ES"/>
        </w:rPr>
        <w:t>uedan ofrecer una</w:t>
      </w:r>
      <w:r>
        <w:rPr>
          <w:rFonts w:ascii="Arial Narrow" w:hAnsi="Arial Narrow"/>
          <w:sz w:val="26"/>
          <w:szCs w:val="26"/>
        </w:rPr>
        <w:t xml:space="preserve"> oferta complementaria regulada, ofreciendo un mayor atractivo al Mercado. </w:t>
      </w:r>
    </w:p>
    <w:p w:rsidR="004D1CFD" w:rsidRDefault="00925F0C">
      <w:pPr>
        <w:pStyle w:val="Textoindependiente"/>
        <w:spacing w:before="240" w:after="180" w:line="240" w:lineRule="auto"/>
        <w:jc w:val="both"/>
        <w:rPr>
          <w:rFonts w:ascii="Arial Narrow" w:hAnsi="Arial Narrow"/>
          <w:sz w:val="26"/>
          <w:szCs w:val="26"/>
        </w:rPr>
      </w:pPr>
      <w:r>
        <w:rPr>
          <w:rFonts w:ascii="Arial Narrow" w:hAnsi="Arial Narrow"/>
          <w:sz w:val="26"/>
          <w:szCs w:val="26"/>
        </w:rPr>
        <w:t xml:space="preserve">Asimismo, </w:t>
      </w:r>
      <w:proofErr w:type="spellStart"/>
      <w:r>
        <w:rPr>
          <w:rFonts w:ascii="Arial Narrow" w:hAnsi="Arial Narrow"/>
          <w:sz w:val="26"/>
          <w:szCs w:val="26"/>
        </w:rPr>
        <w:t>Nela</w:t>
      </w:r>
      <w:proofErr w:type="spellEnd"/>
      <w:r>
        <w:rPr>
          <w:rFonts w:ascii="Arial Narrow" w:hAnsi="Arial Narrow"/>
          <w:sz w:val="26"/>
          <w:szCs w:val="26"/>
        </w:rPr>
        <w:t xml:space="preserve"> García ha explicado que esta</w:t>
      </w:r>
      <w:r>
        <w:rPr>
          <w:rFonts w:ascii="Arial Narrow" w:hAnsi="Arial Narrow"/>
          <w:sz w:val="26"/>
          <w:szCs w:val="26"/>
        </w:rPr>
        <w:t xml:space="preserve"> modificación va a hacer posible que estos puestos se liciten públicamente para que al menos 8 nuevos establecimientos comiencen a funcionar y completen y complementen la oferta comercial y hostelera en el Mercado Central de Abastos con establecimientos es</w:t>
      </w:r>
      <w:r>
        <w:rPr>
          <w:rFonts w:ascii="Arial Narrow" w:hAnsi="Arial Narrow"/>
          <w:sz w:val="26"/>
          <w:szCs w:val="26"/>
        </w:rPr>
        <w:t xml:space="preserve">pecializados y una zona gastronómica con 2 gastrobares y 1 cafetería-pastelería. </w:t>
      </w:r>
    </w:p>
    <w:p w:rsidR="004D1CFD" w:rsidRDefault="00925F0C">
      <w:pPr>
        <w:pStyle w:val="Textoindependiente"/>
        <w:spacing w:before="240" w:after="180" w:line="240" w:lineRule="auto"/>
        <w:jc w:val="both"/>
        <w:rPr>
          <w:rFonts w:ascii="Arial Narrow" w:hAnsi="Arial Narrow"/>
          <w:sz w:val="26"/>
          <w:szCs w:val="26"/>
        </w:rPr>
      </w:pPr>
      <w:r>
        <w:rPr>
          <w:rFonts w:ascii="Arial Narrow" w:hAnsi="Arial Narrow"/>
          <w:sz w:val="26"/>
          <w:szCs w:val="26"/>
        </w:rPr>
        <w:t xml:space="preserve">En palabras de </w:t>
      </w:r>
      <w:proofErr w:type="spellStart"/>
      <w:r>
        <w:rPr>
          <w:rFonts w:ascii="Arial Narrow" w:hAnsi="Arial Narrow"/>
          <w:sz w:val="26"/>
          <w:szCs w:val="26"/>
        </w:rPr>
        <w:t>Nela</w:t>
      </w:r>
      <w:proofErr w:type="spellEnd"/>
      <w:r>
        <w:rPr>
          <w:rFonts w:ascii="Arial Narrow" w:hAnsi="Arial Narrow"/>
          <w:sz w:val="26"/>
          <w:szCs w:val="26"/>
        </w:rPr>
        <w:t xml:space="preserve"> García, “este acuerdo supone un gran reto y un gran avance para el espacio comercial referente en el centro de Jerez, donde la oferta de productos locales</w:t>
      </w:r>
      <w:r>
        <w:rPr>
          <w:rFonts w:ascii="Arial Narrow" w:hAnsi="Arial Narrow"/>
          <w:sz w:val="26"/>
          <w:szCs w:val="26"/>
        </w:rPr>
        <w:t>, la producción de empresas locales, donde la referencia a productos de proximidad, a productos frescos, es un gran referente. Cumplimos así también con uno de los objetivos para el impulso de la actividad comercial, seguir generando oportunidades de emple</w:t>
      </w:r>
      <w:r>
        <w:rPr>
          <w:rFonts w:ascii="Arial Narrow" w:hAnsi="Arial Narrow"/>
          <w:sz w:val="26"/>
          <w:szCs w:val="26"/>
        </w:rPr>
        <w:t xml:space="preserve">o y actividad económica”. </w:t>
      </w:r>
    </w:p>
    <w:p w:rsidR="004D1CFD" w:rsidRDefault="00925F0C">
      <w:pPr>
        <w:pStyle w:val="Textoindependiente"/>
        <w:spacing w:before="240" w:after="180" w:line="240" w:lineRule="auto"/>
        <w:jc w:val="both"/>
        <w:rPr>
          <w:rFonts w:ascii="Arial Narrow" w:hAnsi="Arial Narrow"/>
          <w:sz w:val="26"/>
          <w:szCs w:val="26"/>
        </w:rPr>
      </w:pPr>
      <w:r>
        <w:rPr>
          <w:rFonts w:ascii="Arial Narrow" w:hAnsi="Arial Narrow"/>
          <w:b/>
          <w:bCs/>
          <w:sz w:val="26"/>
          <w:szCs w:val="26"/>
        </w:rPr>
        <w:t>Modificaciones de crédito</w:t>
      </w:r>
    </w:p>
    <w:p w:rsidR="004D1CFD" w:rsidRPr="00925F0C" w:rsidRDefault="00925F0C">
      <w:pPr>
        <w:spacing w:before="240" w:after="180"/>
        <w:jc w:val="both"/>
        <w:rPr>
          <w:rFonts w:ascii="Arial Narrow" w:hAnsi="Arial Narrow"/>
          <w:sz w:val="26"/>
          <w:szCs w:val="26"/>
        </w:rPr>
      </w:pPr>
      <w:r>
        <w:rPr>
          <w:rFonts w:ascii="Arial Narrow" w:hAnsi="Arial Narrow"/>
          <w:sz w:val="26"/>
          <w:szCs w:val="26"/>
        </w:rPr>
        <w:t xml:space="preserve">El Pleno ha aprobado dos modificaciones de crédito en el presupuesto municipal para el ejercicio 2026, prórroga de 2025. </w:t>
      </w:r>
      <w:r w:rsidRPr="00925F0C">
        <w:rPr>
          <w:rFonts w:ascii="Arial Narrow" w:hAnsi="Arial Narrow"/>
          <w:sz w:val="26"/>
          <w:szCs w:val="26"/>
        </w:rPr>
        <w:t>La</w:t>
      </w:r>
      <w:r w:rsidRPr="00925F0C">
        <w:rPr>
          <w:rFonts w:ascii="Arial Narrow" w:hAnsi="Arial Narrow"/>
          <w:color w:val="000000"/>
          <w:sz w:val="26"/>
          <w:szCs w:val="26"/>
        </w:rPr>
        <w:t xml:space="preserve"> primera de ellas (T037/2026) se lleva a cabo a instancias del Servicio de Gesti</w:t>
      </w:r>
      <w:r w:rsidRPr="00925F0C">
        <w:rPr>
          <w:rFonts w:ascii="Arial Narrow" w:hAnsi="Arial Narrow"/>
          <w:color w:val="000000"/>
          <w:sz w:val="26"/>
          <w:szCs w:val="26"/>
        </w:rPr>
        <w:t>ón de Planes</w:t>
      </w:r>
      <w:bookmarkStart w:id="1" w:name="_GoBack"/>
      <w:bookmarkEnd w:id="1"/>
      <w:r w:rsidRPr="00925F0C">
        <w:rPr>
          <w:rFonts w:ascii="Arial Narrow" w:hAnsi="Arial Narrow"/>
          <w:color w:val="000000"/>
          <w:sz w:val="26"/>
          <w:szCs w:val="26"/>
        </w:rPr>
        <w:t xml:space="preserve"> Especiales y tiene un importe de</w:t>
      </w:r>
      <w:r>
        <w:rPr>
          <w:rFonts w:ascii="Arial Narrow" w:hAnsi="Arial Narrow"/>
          <w:color w:val="000000"/>
          <w:sz w:val="26"/>
          <w:szCs w:val="26"/>
          <w:lang w:val="en-US"/>
        </w:rPr>
        <w:t xml:space="preserve"> </w:t>
      </w:r>
      <w:r w:rsidRPr="00925F0C">
        <w:rPr>
          <w:rFonts w:ascii="Arial Narrow" w:hAnsi="Arial Narrow"/>
          <w:color w:val="000000"/>
          <w:sz w:val="26"/>
          <w:szCs w:val="26"/>
        </w:rPr>
        <w:lastRenderedPageBreak/>
        <w:t>1.702.345,43 euros, que corresponde a la aportación municipal necesaria para la cofinanciación de una serie de proyectos, y que están financiadas con la baja de créditos procedentes del Patrimonio Municipal del</w:t>
      </w:r>
      <w:r w:rsidRPr="00925F0C">
        <w:rPr>
          <w:rFonts w:ascii="Arial Narrow" w:hAnsi="Arial Narrow"/>
          <w:color w:val="000000"/>
          <w:sz w:val="26"/>
          <w:szCs w:val="26"/>
        </w:rPr>
        <w:t xml:space="preserve"> Suelo, tal y como ha explicado el delegado de Economía y Hacienda, Francisco Delgado. </w:t>
      </w:r>
    </w:p>
    <w:p w:rsidR="004D1CFD" w:rsidRPr="00925F0C" w:rsidRDefault="00925F0C">
      <w:pPr>
        <w:spacing w:before="240" w:after="180"/>
        <w:jc w:val="both"/>
        <w:rPr>
          <w:rFonts w:ascii="Arial Narrow" w:hAnsi="Arial Narrow"/>
          <w:sz w:val="26"/>
          <w:szCs w:val="26"/>
        </w:rPr>
      </w:pPr>
      <w:r w:rsidRPr="00925F0C">
        <w:rPr>
          <w:rFonts w:ascii="Arial Narrow" w:hAnsi="Arial Narrow"/>
          <w:color w:val="000000"/>
          <w:sz w:val="26"/>
          <w:szCs w:val="26"/>
        </w:rPr>
        <w:t>Estas actuaciones son: la rehabilitación de la Biblioteca Central, la rehabilitación de los Claustros de Santo Domingo; la reforma del antiguo Cine Astoria, la reurbani</w:t>
      </w:r>
      <w:r w:rsidRPr="00925F0C">
        <w:rPr>
          <w:rFonts w:ascii="Arial Narrow" w:hAnsi="Arial Narrow"/>
          <w:color w:val="000000"/>
          <w:sz w:val="26"/>
          <w:szCs w:val="26"/>
        </w:rPr>
        <w:t>zación de espacios libres en la antigua bodega Cristal, el descubrimiento de la muralla y la rehabilitación de zona verde en la calle Muro, la finalización del Eje del Arroyo, la reordenación del eje viario Puerta de Sevilla-Puerta de Santiago, la regenera</w:t>
      </w:r>
      <w:r w:rsidRPr="00925F0C">
        <w:rPr>
          <w:rFonts w:ascii="Arial Narrow" w:hAnsi="Arial Narrow"/>
          <w:color w:val="000000"/>
          <w:sz w:val="26"/>
          <w:szCs w:val="26"/>
        </w:rPr>
        <w:t xml:space="preserve">ción urbana de la barriada </w:t>
      </w:r>
      <w:proofErr w:type="spellStart"/>
      <w:r w:rsidRPr="00925F0C">
        <w:rPr>
          <w:rFonts w:ascii="Arial Narrow" w:hAnsi="Arial Narrow"/>
          <w:color w:val="000000"/>
          <w:sz w:val="26"/>
          <w:szCs w:val="26"/>
        </w:rPr>
        <w:t>Picadueñas</w:t>
      </w:r>
      <w:proofErr w:type="spellEnd"/>
      <w:r w:rsidRPr="00925F0C">
        <w:rPr>
          <w:rFonts w:ascii="Arial Narrow" w:hAnsi="Arial Narrow"/>
          <w:color w:val="000000"/>
          <w:sz w:val="26"/>
          <w:szCs w:val="26"/>
        </w:rPr>
        <w:t xml:space="preserve">, colegios </w:t>
      </w:r>
      <w:proofErr w:type="spellStart"/>
      <w:r w:rsidRPr="00925F0C">
        <w:rPr>
          <w:rFonts w:ascii="Arial Narrow" w:hAnsi="Arial Narrow"/>
          <w:color w:val="000000"/>
          <w:sz w:val="26"/>
          <w:szCs w:val="26"/>
        </w:rPr>
        <w:t>ecosostenibles</w:t>
      </w:r>
      <w:proofErr w:type="spellEnd"/>
      <w:r w:rsidRPr="00925F0C">
        <w:rPr>
          <w:rFonts w:ascii="Arial Narrow" w:hAnsi="Arial Narrow"/>
          <w:color w:val="000000"/>
          <w:sz w:val="26"/>
          <w:szCs w:val="26"/>
        </w:rPr>
        <w:t xml:space="preserve"> en la zona oeste, y la renovación</w:t>
      </w:r>
      <w:r w:rsidRPr="00925F0C">
        <w:rPr>
          <w:rFonts w:ascii="Arial Narrow" w:hAnsi="Arial Narrow"/>
          <w:color w:val="000000"/>
          <w:sz w:val="26"/>
          <w:szCs w:val="26"/>
        </w:rPr>
        <w:t xml:space="preserve"> del Mercado de la Plata. </w:t>
      </w:r>
    </w:p>
    <w:p w:rsidR="004D1CFD" w:rsidRPr="00925F0C" w:rsidRDefault="00925F0C">
      <w:pPr>
        <w:pStyle w:val="Textoindependiente"/>
        <w:spacing w:after="0" w:line="240" w:lineRule="auto"/>
        <w:ind w:left="30" w:right="30"/>
        <w:jc w:val="both"/>
        <w:rPr>
          <w:rFonts w:ascii="Arial Narrow" w:hAnsi="Arial Narrow"/>
          <w:sz w:val="26"/>
          <w:szCs w:val="26"/>
        </w:rPr>
      </w:pPr>
      <w:r w:rsidRPr="00925F0C">
        <w:rPr>
          <w:rFonts w:ascii="Arial Narrow" w:hAnsi="Arial Narrow"/>
          <w:color w:val="000000"/>
          <w:sz w:val="26"/>
          <w:szCs w:val="26"/>
        </w:rPr>
        <w:t>El expediente se acompaña de un informe del director del Servicio de Ejecución de la Edificación sobre la posibilidad de cofinanciaci</w:t>
      </w:r>
      <w:r w:rsidRPr="00925F0C">
        <w:rPr>
          <w:rFonts w:ascii="Arial Narrow" w:hAnsi="Arial Narrow"/>
          <w:color w:val="000000"/>
          <w:sz w:val="26"/>
          <w:szCs w:val="26"/>
        </w:rPr>
        <w:t>ón con recursos procedentes del Patrimonio Municipal del Suelo de diversas actuaciones promovidas por el Ayuntamiento, en su condición de beneficiario de una ayuda financiera FEDER para la ejecución de un Plan de Actuación Integrado (PAI-EDIL) También se i</w:t>
      </w:r>
      <w:r w:rsidRPr="00925F0C">
        <w:rPr>
          <w:rFonts w:ascii="Arial Narrow" w:hAnsi="Arial Narrow"/>
          <w:color w:val="000000"/>
          <w:sz w:val="26"/>
          <w:szCs w:val="26"/>
        </w:rPr>
        <w:t>ncluye un informe del director del Servicio de Ejecución de la Edificación y de la Delegada de Urbanismo sobre la disponibilidad de crédito en la Delegación de Urbanismo para la tramitación de la presente modificación presupuestaria.</w:t>
      </w:r>
    </w:p>
    <w:p w:rsidR="004D1CFD" w:rsidRPr="00925F0C" w:rsidRDefault="00925F0C">
      <w:pPr>
        <w:spacing w:before="240" w:after="180"/>
        <w:jc w:val="both"/>
        <w:rPr>
          <w:rFonts w:ascii="Arial Narrow" w:hAnsi="Arial Narrow"/>
          <w:sz w:val="26"/>
          <w:szCs w:val="26"/>
        </w:rPr>
      </w:pPr>
      <w:r w:rsidRPr="00925F0C">
        <w:rPr>
          <w:rFonts w:ascii="Arial Narrow" w:hAnsi="Arial Narrow"/>
          <w:sz w:val="26"/>
          <w:szCs w:val="26"/>
        </w:rPr>
        <w:t xml:space="preserve">En relación a la </w:t>
      </w:r>
      <w:r w:rsidRPr="00925F0C">
        <w:rPr>
          <w:rFonts w:ascii="Arial Narrow" w:hAnsi="Arial Narrow"/>
          <w:sz w:val="26"/>
          <w:szCs w:val="26"/>
        </w:rPr>
        <w:t xml:space="preserve">segunda modificación (T034/2026), el delegado de Economía y Hacienda, Francisco Delgado, ha explicado que “ésta se produce a </w:t>
      </w:r>
      <w:r w:rsidRPr="00925F0C">
        <w:rPr>
          <w:rFonts w:ascii="Arial Narrow" w:hAnsi="Arial Narrow"/>
          <w:color w:val="000000"/>
          <w:sz w:val="26"/>
          <w:szCs w:val="26"/>
        </w:rPr>
        <w:t>req</w:t>
      </w:r>
      <w:r w:rsidRPr="00925F0C">
        <w:rPr>
          <w:rFonts w:ascii="Arial Narrow" w:hAnsi="Arial Narrow"/>
          <w:color w:val="000000"/>
          <w:sz w:val="26"/>
          <w:szCs w:val="26"/>
        </w:rPr>
        <w:t>uerimiento de los Servicios de Mantenimiento de Dependencias Municipales y Centros Educativos, que han solicitado el inicio de e</w:t>
      </w:r>
      <w:r w:rsidRPr="00925F0C">
        <w:rPr>
          <w:rFonts w:ascii="Arial Narrow" w:hAnsi="Arial Narrow"/>
          <w:color w:val="000000"/>
          <w:sz w:val="26"/>
          <w:szCs w:val="26"/>
        </w:rPr>
        <w:t xml:space="preserve">ste expediente, por importe de 91.794,90 euros, para atender la factura de la Empresa </w:t>
      </w:r>
      <w:proofErr w:type="spellStart"/>
      <w:r w:rsidRPr="00925F0C">
        <w:rPr>
          <w:rFonts w:ascii="Arial Narrow" w:hAnsi="Arial Narrow"/>
          <w:color w:val="000000"/>
          <w:sz w:val="26"/>
          <w:szCs w:val="26"/>
        </w:rPr>
        <w:t>Novanzia</w:t>
      </w:r>
      <w:proofErr w:type="spellEnd"/>
      <w:r w:rsidRPr="00925F0C">
        <w:rPr>
          <w:rFonts w:ascii="Arial Narrow" w:hAnsi="Arial Narrow"/>
          <w:color w:val="000000"/>
          <w:sz w:val="26"/>
          <w:szCs w:val="26"/>
        </w:rPr>
        <w:t xml:space="preserve"> SLU que ejecutó la obra de emergencia de 220 osarios en el Cementerio Municipal para paliar los daños producidos a causa de las precipitaciones intensas y rachas</w:t>
      </w:r>
      <w:r w:rsidRPr="00925F0C">
        <w:rPr>
          <w:rFonts w:ascii="Arial Narrow" w:hAnsi="Arial Narrow"/>
          <w:color w:val="000000"/>
          <w:sz w:val="26"/>
          <w:szCs w:val="26"/>
        </w:rPr>
        <w:t xml:space="preserve"> de viento acaecidos en el mes de febrero pasado. </w:t>
      </w:r>
    </w:p>
    <w:p w:rsidR="004D1CFD" w:rsidRPr="00925F0C" w:rsidRDefault="00925F0C">
      <w:pPr>
        <w:spacing w:before="240" w:after="180"/>
        <w:jc w:val="both"/>
        <w:rPr>
          <w:rFonts w:ascii="Arial Narrow" w:hAnsi="Arial Narrow"/>
          <w:sz w:val="26"/>
          <w:szCs w:val="26"/>
        </w:rPr>
      </w:pPr>
      <w:r w:rsidRPr="00925F0C">
        <w:rPr>
          <w:rFonts w:ascii="Arial Narrow" w:hAnsi="Arial Narrow"/>
          <w:color w:val="000000"/>
          <w:sz w:val="26"/>
          <w:szCs w:val="26"/>
        </w:rPr>
        <w:t>En relación a este asunto, Agustín Muñoz ha reiterado que “la buena noticia es que a día de hoy, 8 proyectos ya tienen financiación</w:t>
      </w:r>
      <w:r w:rsidRPr="00925F0C">
        <w:rPr>
          <w:rFonts w:ascii="Arial Narrow" w:hAnsi="Arial Narrow"/>
          <w:color w:val="000000"/>
          <w:sz w:val="26"/>
          <w:szCs w:val="26"/>
        </w:rPr>
        <w:t xml:space="preserve"> a través de PMS, y a partir de ahora “ya empezamos a licitar actuaciones </w:t>
      </w:r>
      <w:r w:rsidRPr="00925F0C">
        <w:rPr>
          <w:rFonts w:ascii="Arial Narrow" w:hAnsi="Arial Narrow"/>
          <w:color w:val="000000"/>
          <w:sz w:val="26"/>
          <w:szCs w:val="26"/>
        </w:rPr>
        <w:t xml:space="preserve">muy importantes para la ciudad que van a suponer un impulso a  equipamientos culturales de la ciudad y a la barriada de </w:t>
      </w:r>
      <w:proofErr w:type="spellStart"/>
      <w:r w:rsidRPr="00925F0C">
        <w:rPr>
          <w:rFonts w:ascii="Arial Narrow" w:hAnsi="Arial Narrow"/>
          <w:color w:val="000000"/>
          <w:sz w:val="26"/>
          <w:szCs w:val="26"/>
        </w:rPr>
        <w:t>Picadueñas</w:t>
      </w:r>
      <w:proofErr w:type="spellEnd"/>
      <w:r w:rsidRPr="00925F0C">
        <w:rPr>
          <w:rFonts w:ascii="Arial Narrow" w:hAnsi="Arial Narrow"/>
          <w:color w:val="000000"/>
          <w:sz w:val="26"/>
          <w:szCs w:val="26"/>
        </w:rPr>
        <w:t xml:space="preserve">”. </w:t>
      </w:r>
    </w:p>
    <w:p w:rsidR="004D1CFD" w:rsidRPr="00925F0C" w:rsidRDefault="00925F0C">
      <w:pPr>
        <w:pStyle w:val="Textoindependiente"/>
        <w:spacing w:after="0" w:line="240" w:lineRule="auto"/>
        <w:ind w:left="30" w:right="30"/>
        <w:jc w:val="both"/>
        <w:rPr>
          <w:rFonts w:ascii="Arial Narrow" w:hAnsi="Arial Narrow"/>
          <w:i/>
          <w:iCs/>
          <w:sz w:val="26"/>
          <w:szCs w:val="26"/>
        </w:rPr>
      </w:pPr>
      <w:r w:rsidRPr="00925F0C">
        <w:rPr>
          <w:rFonts w:ascii="Arial Narrow" w:hAnsi="Arial Narrow"/>
          <w:i/>
          <w:iCs/>
          <w:sz w:val="26"/>
          <w:szCs w:val="26"/>
        </w:rPr>
        <w:t>(Se adjuntan fotografías)</w:t>
      </w:r>
    </w:p>
    <w:p w:rsidR="004D1CFD" w:rsidRDefault="004D1CFD">
      <w:pPr>
        <w:pStyle w:val="Textoindependiente"/>
        <w:spacing w:after="0" w:line="240" w:lineRule="auto"/>
        <w:ind w:left="30" w:right="30"/>
        <w:jc w:val="both"/>
        <w:rPr>
          <w:rFonts w:ascii="Arial Narrow" w:hAnsi="Arial Narrow"/>
          <w:sz w:val="26"/>
          <w:szCs w:val="26"/>
        </w:rPr>
      </w:pPr>
    </w:p>
    <w:p w:rsidR="004D1CFD" w:rsidRDefault="004D1CFD">
      <w:pPr>
        <w:pStyle w:val="Textoindependiente"/>
        <w:spacing w:after="0" w:line="240" w:lineRule="auto"/>
        <w:ind w:left="30" w:right="30"/>
        <w:jc w:val="both"/>
        <w:rPr>
          <w:rFonts w:ascii="Arial Narrow" w:hAnsi="Arial Narrow"/>
          <w:sz w:val="26"/>
          <w:szCs w:val="26"/>
        </w:rPr>
      </w:pPr>
    </w:p>
    <w:p w:rsidR="004D1CFD" w:rsidRDefault="004D1CFD">
      <w:pPr>
        <w:pStyle w:val="Textoindependiente"/>
        <w:spacing w:after="0" w:line="240" w:lineRule="auto"/>
        <w:ind w:left="30" w:right="30"/>
        <w:jc w:val="both"/>
        <w:rPr>
          <w:rFonts w:ascii="Arial Narrow" w:hAnsi="Arial Narrow"/>
          <w:sz w:val="26"/>
          <w:szCs w:val="26"/>
        </w:rPr>
      </w:pPr>
    </w:p>
    <w:p w:rsidR="004D1CFD" w:rsidRDefault="004D1CFD">
      <w:pPr>
        <w:pStyle w:val="Textoindependiente"/>
        <w:spacing w:after="0" w:line="240" w:lineRule="auto"/>
        <w:ind w:left="30" w:right="30"/>
        <w:rPr>
          <w:rFonts w:ascii="Arial Narrow" w:hAnsi="Arial Narrow"/>
          <w:sz w:val="26"/>
          <w:szCs w:val="26"/>
          <w:lang w:val="en-US"/>
        </w:rPr>
      </w:pPr>
    </w:p>
    <w:p w:rsidR="004D1CFD" w:rsidRDefault="004D1CFD">
      <w:pPr>
        <w:pStyle w:val="Textoindependiente"/>
        <w:spacing w:after="0" w:line="240" w:lineRule="auto"/>
        <w:ind w:left="30" w:right="30"/>
        <w:rPr>
          <w:rFonts w:ascii="Arial Narrow" w:hAnsi="Arial Narrow"/>
          <w:b/>
          <w:bCs/>
          <w:sz w:val="26"/>
          <w:szCs w:val="26"/>
        </w:rPr>
      </w:pPr>
    </w:p>
    <w:sectPr w:rsidR="004D1CFD">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25F0C">
      <w:r>
        <w:separator/>
      </w:r>
    </w:p>
  </w:endnote>
  <w:endnote w:type="continuationSeparator" w:id="0">
    <w:p w:rsidR="00000000" w:rsidRDefault="00925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Mono">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25F0C">
      <w:r>
        <w:separator/>
      </w:r>
    </w:p>
  </w:footnote>
  <w:footnote w:type="continuationSeparator" w:id="0">
    <w:p w:rsidR="00000000" w:rsidRDefault="00925F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CFD" w:rsidRDefault="004D1CF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CFD" w:rsidRDefault="00925F0C">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4D1CFD" w:rsidRDefault="004D1CF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CFD" w:rsidRDefault="00925F0C">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4D1CFD" w:rsidRDefault="004D1CF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4D1CFD"/>
    <w:rsid w:val="004D1CFD"/>
    <w:rsid w:val="00925F0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9227DD-33B5-4F5E-8F08-7F7064ECE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qFormat/>
    <w:pPr>
      <w:keepNext/>
      <w:keepLines/>
      <w:spacing w:before="40"/>
      <w:outlineLvl w:val="2"/>
    </w:pPr>
    <w:rPr>
      <w:rFonts w:ascii="Arial" w:eastAsia="DejaVu Sans" w:hAnsi="Arial" w:cs="DejaVu Sans"/>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citation-92">
    <w:name w:val="citation-92"/>
    <w:basedOn w:val="Fuentedeprrafopredeter"/>
    <w:qFormat/>
  </w:style>
  <w:style w:type="character" w:customStyle="1" w:styleId="citation-93">
    <w:name w:val="citation-93"/>
    <w:basedOn w:val="Fuentedeprrafopredeter"/>
    <w:qFormat/>
  </w:style>
  <w:style w:type="character" w:customStyle="1" w:styleId="citation-94">
    <w:name w:val="citation-94"/>
    <w:basedOn w:val="Fuentedeprrafopredeter"/>
    <w:qFormat/>
  </w:style>
  <w:style w:type="character" w:customStyle="1" w:styleId="citation-95">
    <w:name w:val="citation-95"/>
    <w:basedOn w:val="Fuentedeprrafopredeter"/>
    <w:qFormat/>
  </w:style>
  <w:style w:type="character" w:customStyle="1" w:styleId="citation-96">
    <w:name w:val="citation-96"/>
    <w:basedOn w:val="Fuentedeprrafopredeter"/>
    <w:qFormat/>
  </w:style>
  <w:style w:type="character" w:customStyle="1" w:styleId="citation-97">
    <w:name w:val="citation-97"/>
    <w:basedOn w:val="Fuentedeprrafopredeter"/>
    <w:qFormat/>
  </w:style>
  <w:style w:type="character" w:customStyle="1" w:styleId="citation-98">
    <w:name w:val="citation-98"/>
    <w:basedOn w:val="Fuentedeprrafopredeter"/>
    <w:qFormat/>
  </w:style>
  <w:style w:type="character" w:customStyle="1" w:styleId="citation-99">
    <w:name w:val="citation-99"/>
    <w:basedOn w:val="Fuentedeprrafopredeter"/>
    <w:qFormat/>
  </w:style>
  <w:style w:type="character" w:customStyle="1" w:styleId="citation-100">
    <w:name w:val="citation-100"/>
    <w:basedOn w:val="Fuentedeprrafopredeter"/>
    <w:qFormat/>
  </w:style>
  <w:style w:type="character" w:customStyle="1" w:styleId="citation-101">
    <w:name w:val="citation-101"/>
    <w:basedOn w:val="Fuentedeprrafopredeter"/>
    <w:qFormat/>
  </w:style>
  <w:style w:type="character" w:customStyle="1" w:styleId="citation-102">
    <w:name w:val="citation-102"/>
    <w:basedOn w:val="Fuentedeprrafopredeter"/>
    <w:qFormat/>
  </w:style>
  <w:style w:type="character" w:customStyle="1" w:styleId="citation-103">
    <w:name w:val="citation-103"/>
    <w:basedOn w:val="Fuentedeprrafopredeter"/>
    <w:qFormat/>
  </w:style>
  <w:style w:type="character" w:customStyle="1" w:styleId="citation-104">
    <w:name w:val="citation-104"/>
    <w:basedOn w:val="Fuentedeprrafopredeter"/>
    <w:qFormat/>
  </w:style>
  <w:style w:type="character" w:customStyle="1" w:styleId="citation-105">
    <w:name w:val="citation-105"/>
    <w:basedOn w:val="Fuentedeprrafopredeter"/>
    <w:qFormat/>
  </w:style>
  <w:style w:type="character" w:customStyle="1" w:styleId="citation-106">
    <w:name w:val="citation-106"/>
    <w:basedOn w:val="Fuentedeprrafopredeter"/>
    <w:qFormat/>
  </w:style>
  <w:style w:type="character" w:customStyle="1" w:styleId="citation-107">
    <w:name w:val="citation-107"/>
    <w:basedOn w:val="Fuentedeprrafopredeter"/>
    <w:qFormat/>
  </w:style>
  <w:style w:type="character" w:customStyle="1" w:styleId="button-label">
    <w:name w:val="button-label"/>
    <w:basedOn w:val="Fuentedeprrafopredeter"/>
    <w:qFormat/>
  </w:style>
  <w:style w:type="character" w:customStyle="1" w:styleId="citation-108">
    <w:name w:val="citation-108"/>
    <w:basedOn w:val="Fuentedeprrafopredeter"/>
    <w:qFormat/>
  </w:style>
  <w:style w:type="character" w:customStyle="1" w:styleId="Ninguno">
    <w:name w:val="Ninguno"/>
    <w:qFormat/>
    <w:rPr>
      <w:lang w:val="es-ES_tradn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
    <w:name w:val="caption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paragraph" w:customStyle="1" w:styleId="caption2">
    <w:name w:val="caption2"/>
    <w:basedOn w:val="Normal"/>
    <w:qFormat/>
    <w:pPr>
      <w:suppressLineNumbers/>
      <w:spacing w:before="120" w:after="120"/>
    </w:pPr>
    <w:rPr>
      <w:rFonts w:cs="Arial"/>
      <w:i/>
      <w:iCs/>
    </w:rPr>
  </w:style>
  <w:style w:type="paragraph" w:customStyle="1" w:styleId="Standard1">
    <w:name w:val="Standard1"/>
    <w:qFormat/>
    <w:pPr>
      <w:textAlignment w:val="baseline"/>
    </w:pPr>
    <w:rPr>
      <w:rFonts w:ascii="Times New Roman" w:eastAsia="Times New Roman" w:hAnsi="Times New Roman" w:cs="Times New Roman"/>
      <w:kern w:val="2"/>
      <w:sz w:val="20"/>
      <w:szCs w:val="20"/>
      <w:lang w:val="en-US" w:eastAsia="zh-CN"/>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879</TotalTime>
  <Pages>3</Pages>
  <Words>1177</Words>
  <Characters>6479</Characters>
  <Application>Microsoft Office Word</Application>
  <DocSecurity>0</DocSecurity>
  <Lines>53</Lines>
  <Paragraphs>15</Paragraphs>
  <ScaleCrop>false</ScaleCrop>
  <Company>Aytojerez</Company>
  <LinksUpToDate>false</LinksUpToDate>
  <CharactersWithSpaces>7641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158</cp:revision>
  <cp:lastPrinted>2026-06-11T11:29:00Z</cp:lastPrinted>
  <dcterms:created xsi:type="dcterms:W3CDTF">2008-04-18T08:06:00Z</dcterms:created>
  <dcterms:modified xsi:type="dcterms:W3CDTF">2026-06-26T10:28:00Z</dcterms:modified>
  <dc:language>es-ES</dc:language>
</cp:coreProperties>
</file>