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750" w:rsidRDefault="00082750" w:rsidP="00082750">
      <w:pPr>
        <w:pStyle w:val="western"/>
        <w:rPr>
          <w:rFonts w:ascii="Arial Narrow" w:eastAsia="NSimSun" w:hAnsi="Arial Narrow" w:cs="Alef"/>
          <w:b/>
          <w:bCs/>
          <w:spacing w:val="-2"/>
          <w:sz w:val="40"/>
          <w:szCs w:val="40"/>
          <w:lang w:bidi="hi-IN"/>
        </w:rPr>
      </w:pPr>
    </w:p>
    <w:p w:rsidR="00082750" w:rsidRDefault="00082750" w:rsidP="00082750">
      <w:pPr>
        <w:pStyle w:val="western"/>
        <w:rPr>
          <w:color w:val="000000"/>
        </w:rPr>
      </w:pPr>
      <w:r>
        <w:rPr>
          <w:rFonts w:ascii="Arial Narrow" w:eastAsia="NSimSun" w:hAnsi="Arial Narrow" w:cs="Alef"/>
          <w:b/>
          <w:bCs/>
          <w:spacing w:val="-2"/>
          <w:sz w:val="40"/>
          <w:szCs w:val="40"/>
          <w:lang w:bidi="hi-IN"/>
        </w:rPr>
        <w:t>La Comisión Especial de Cuentas dictamina la Cuenta General 2024, que será sometida a exposición pública antes de pasar por el Pleno para su aprobación</w:t>
      </w:r>
    </w:p>
    <w:p w:rsidR="00082750" w:rsidRDefault="00082750" w:rsidP="00082750">
      <w:pPr>
        <w:pStyle w:val="western"/>
        <w:rPr>
          <w:color w:val="000000"/>
        </w:rPr>
      </w:pPr>
    </w:p>
    <w:p w:rsidR="00082750" w:rsidRDefault="00082750" w:rsidP="00082750">
      <w:pPr>
        <w:pStyle w:val="western"/>
        <w:rPr>
          <w:rFonts w:ascii="Arial Narrow" w:hAnsi="Arial Narrow"/>
          <w:sz w:val="32"/>
          <w:szCs w:val="32"/>
        </w:rPr>
      </w:pPr>
    </w:p>
    <w:p w:rsidR="00082750" w:rsidRDefault="00082750" w:rsidP="00082750">
      <w:pPr>
        <w:jc w:val="both"/>
        <w:rPr>
          <w:rFonts w:ascii="Arial Narrow" w:hAnsi="Arial Narrow"/>
          <w:sz w:val="26"/>
          <w:szCs w:val="26"/>
        </w:rPr>
      </w:pPr>
      <w:r>
        <w:rPr>
          <w:rFonts w:ascii="Arial Narrow" w:eastAsia="Malgun Gothic" w:hAnsi="Arial Narrow" w:cs="Helvetica"/>
          <w:b/>
          <w:bCs/>
          <w:color w:val="000000"/>
          <w:sz w:val="26"/>
          <w:szCs w:val="26"/>
          <w:lang w:eastAsia="es-ES_tradnl"/>
        </w:rPr>
        <w:t xml:space="preserve">22 de julio de 2026. </w:t>
      </w:r>
      <w:r>
        <w:rPr>
          <w:rFonts w:ascii="Arial Narrow" w:eastAsia="Malgun Gothic" w:hAnsi="Arial Narrow" w:cs="Helvetica"/>
          <w:color w:val="000000"/>
          <w:sz w:val="26"/>
          <w:szCs w:val="26"/>
          <w:lang w:eastAsia="es-ES_tradnl"/>
        </w:rPr>
        <w:t xml:space="preserve">La Comisión Especial de Cuentas se ha celebrado hoy miércoles en el Ayuntamiento para emitir su preceptivo dictamen de la Cuenta General del Ejercicio 2024, en cumplimiento de la Ley Reguladora de las Haciendas Locales. Una vez dictaminadas, se procederá a la publicación de la Cuenta 2024 en el Boletín Oficial de la Provincia (BOP) durante un plazo de 15 días para que las personas interesadas puedan examinarla y presentar alegaciones, tal y como ha explicado el delegado de Economía y Hacienda, Francisco Delgado. </w:t>
      </w:r>
    </w:p>
    <w:p w:rsidR="00082750" w:rsidRDefault="00082750" w:rsidP="00082750">
      <w:pPr>
        <w:jc w:val="both"/>
        <w:rPr>
          <w:rFonts w:ascii="Arial Narrow" w:hAnsi="Arial Narrow"/>
          <w:sz w:val="26"/>
          <w:szCs w:val="26"/>
        </w:rPr>
      </w:pPr>
    </w:p>
    <w:p w:rsidR="00082750" w:rsidRDefault="00082750" w:rsidP="00082750">
      <w:pPr>
        <w:jc w:val="both"/>
        <w:rPr>
          <w:rFonts w:ascii="Arial Narrow" w:eastAsia="Malgun Gothic" w:hAnsi="Arial Narrow" w:cs="Helvetica"/>
          <w:color w:val="000000"/>
          <w:sz w:val="26"/>
          <w:szCs w:val="26"/>
          <w:lang w:eastAsia="es-ES_tradnl"/>
        </w:rPr>
      </w:pPr>
      <w:r>
        <w:rPr>
          <w:rFonts w:ascii="Arial Narrow" w:eastAsia="Malgun Gothic" w:hAnsi="Arial Narrow" w:cs="Helvetica"/>
          <w:color w:val="000000"/>
          <w:sz w:val="26"/>
          <w:szCs w:val="26"/>
          <w:lang w:eastAsia="es-ES_tradnl"/>
        </w:rPr>
        <w:t xml:space="preserve">La Cuenta General del Ejercicio 2024, que ha sido apoyada por el Grupo Popular, </w:t>
      </w:r>
      <w:r w:rsidR="00DD3255">
        <w:rPr>
          <w:rFonts w:ascii="Arial Narrow" w:eastAsia="Malgun Gothic" w:hAnsi="Arial Narrow" w:cs="Helvetica"/>
          <w:color w:val="000000"/>
          <w:sz w:val="26"/>
          <w:szCs w:val="26"/>
          <w:lang w:eastAsia="es-ES_tradnl"/>
        </w:rPr>
        <w:t>con la abstención de Vox y La Confluencia y el voto en contra del PSOE,</w:t>
      </w:r>
      <w:r>
        <w:rPr>
          <w:rFonts w:ascii="Arial Narrow" w:eastAsia="Malgun Gothic" w:hAnsi="Arial Narrow" w:cs="Helvetica"/>
          <w:color w:val="000000"/>
          <w:sz w:val="26"/>
          <w:szCs w:val="26"/>
          <w:lang w:eastAsia="es-ES_tradnl"/>
        </w:rPr>
        <w:t xml:space="preserve"> será llevada a Pleno para su aprobación. </w:t>
      </w:r>
    </w:p>
    <w:p w:rsidR="00082750" w:rsidRDefault="00082750" w:rsidP="00082750">
      <w:pPr>
        <w:jc w:val="both"/>
        <w:rPr>
          <w:rFonts w:ascii="Arial Narrow" w:eastAsia="Malgun Gothic" w:hAnsi="Arial Narrow" w:cs="Helvetica"/>
          <w:color w:val="000000"/>
          <w:sz w:val="26"/>
          <w:szCs w:val="26"/>
          <w:lang w:eastAsia="es-ES_tradnl"/>
        </w:rPr>
      </w:pPr>
    </w:p>
    <w:p w:rsidR="00082750" w:rsidRDefault="00082750" w:rsidP="00082750">
      <w:pPr>
        <w:jc w:val="both"/>
        <w:rPr>
          <w:rFonts w:ascii="Arial Narrow" w:hAnsi="Arial Narrow"/>
          <w:sz w:val="26"/>
          <w:szCs w:val="26"/>
        </w:rPr>
      </w:pPr>
      <w:r>
        <w:rPr>
          <w:rFonts w:ascii="Arial Narrow" w:eastAsia="Malgun Gothic" w:hAnsi="Arial Narrow" w:cs="Helvetica"/>
          <w:color w:val="000000"/>
          <w:sz w:val="26"/>
          <w:szCs w:val="26"/>
          <w:lang w:eastAsia="es-ES_tradnl"/>
        </w:rPr>
        <w:t xml:space="preserve">Esta Cuenta General comprende las siguientes Cuentas: la Cuenta del Ayuntamiento de Jerez; la Cuenta de la Fundación Municipal de Formación y Empleo; y las Cuentas de las Sociedades Mercantiles Locales, como son Corporación Municipal de Jerez, </w:t>
      </w:r>
      <w:proofErr w:type="spellStart"/>
      <w:r>
        <w:rPr>
          <w:rFonts w:ascii="Arial Narrow" w:eastAsia="Malgun Gothic" w:hAnsi="Arial Narrow" w:cs="Helvetica"/>
          <w:color w:val="000000"/>
          <w:sz w:val="26"/>
          <w:szCs w:val="26"/>
          <w:lang w:eastAsia="es-ES_tradnl"/>
        </w:rPr>
        <w:t>Comujesa</w:t>
      </w:r>
      <w:proofErr w:type="spellEnd"/>
      <w:r>
        <w:rPr>
          <w:rFonts w:ascii="Arial Narrow" w:eastAsia="Malgun Gothic" w:hAnsi="Arial Narrow" w:cs="Helvetica"/>
          <w:color w:val="000000"/>
          <w:sz w:val="26"/>
          <w:szCs w:val="26"/>
          <w:lang w:eastAsia="es-ES_tradnl"/>
        </w:rPr>
        <w:t xml:space="preserve">; Explotación de los Montes de Propios, </w:t>
      </w:r>
      <w:proofErr w:type="spellStart"/>
      <w:r>
        <w:rPr>
          <w:rFonts w:ascii="Arial Narrow" w:eastAsia="Malgun Gothic" w:hAnsi="Arial Narrow" w:cs="Helvetica"/>
          <w:color w:val="000000"/>
          <w:sz w:val="26"/>
          <w:szCs w:val="26"/>
          <w:lang w:eastAsia="es-ES_tradnl"/>
        </w:rPr>
        <w:t>Ememsa</w:t>
      </w:r>
      <w:proofErr w:type="spellEnd"/>
      <w:r>
        <w:rPr>
          <w:rFonts w:ascii="Arial Narrow" w:eastAsia="Malgun Gothic" w:hAnsi="Arial Narrow" w:cs="Helvetica"/>
          <w:color w:val="000000"/>
          <w:sz w:val="26"/>
          <w:szCs w:val="26"/>
          <w:lang w:eastAsia="es-ES_tradnl"/>
        </w:rPr>
        <w:t xml:space="preserve">; y la Empresa municipal de la Vivienda, </w:t>
      </w:r>
      <w:proofErr w:type="spellStart"/>
      <w:r>
        <w:rPr>
          <w:rFonts w:ascii="Arial Narrow" w:eastAsia="Malgun Gothic" w:hAnsi="Arial Narrow" w:cs="Helvetica"/>
          <w:color w:val="000000"/>
          <w:sz w:val="26"/>
          <w:szCs w:val="26"/>
          <w:lang w:eastAsia="es-ES_tradnl"/>
        </w:rPr>
        <w:t>Emuvijesa</w:t>
      </w:r>
      <w:proofErr w:type="spellEnd"/>
      <w:r>
        <w:rPr>
          <w:rFonts w:ascii="Arial Narrow" w:eastAsia="Malgun Gothic" w:hAnsi="Arial Narrow" w:cs="Helvetica"/>
          <w:color w:val="000000"/>
          <w:sz w:val="26"/>
          <w:szCs w:val="26"/>
          <w:lang w:eastAsia="es-ES_tradnl"/>
        </w:rPr>
        <w:t xml:space="preserve">. </w:t>
      </w:r>
      <w:r>
        <w:rPr>
          <w:rFonts w:ascii="Arial Narrow" w:eastAsia="Malgun Gothic" w:hAnsi="Arial Narrow" w:cs="Carlito;Calibri"/>
          <w:color w:val="000000"/>
          <w:sz w:val="26"/>
          <w:szCs w:val="26"/>
          <w:lang w:eastAsia="es-ES_tradnl"/>
        </w:rPr>
        <w:t xml:space="preserve">Asimismo, se incluyen las Cuentas de las sociedades mercantiles en las que el Ayuntamiento tiene capital mayoritario, que son </w:t>
      </w:r>
      <w:proofErr w:type="spellStart"/>
      <w:r>
        <w:rPr>
          <w:rFonts w:ascii="Arial Narrow" w:eastAsia="Malgun Gothic" w:hAnsi="Arial Narrow" w:cs="Carlito;Calibri"/>
          <w:color w:val="000000"/>
          <w:sz w:val="26"/>
          <w:szCs w:val="26"/>
          <w:lang w:eastAsia="es-ES_tradnl"/>
        </w:rPr>
        <w:t>Mercajerez</w:t>
      </w:r>
      <w:proofErr w:type="spellEnd"/>
      <w:r>
        <w:rPr>
          <w:rFonts w:ascii="Arial Narrow" w:eastAsia="Malgun Gothic" w:hAnsi="Arial Narrow" w:cs="Carlito;Calibri"/>
          <w:color w:val="000000"/>
          <w:sz w:val="26"/>
          <w:szCs w:val="26"/>
          <w:lang w:eastAsia="es-ES_tradnl"/>
        </w:rPr>
        <w:t xml:space="preserve">, y Circuito de Jerez, </w:t>
      </w:r>
      <w:proofErr w:type="spellStart"/>
      <w:r>
        <w:rPr>
          <w:rFonts w:ascii="Arial Narrow" w:eastAsia="Malgun Gothic" w:hAnsi="Arial Narrow" w:cs="Carlito;Calibri"/>
          <w:color w:val="000000"/>
          <w:sz w:val="26"/>
          <w:szCs w:val="26"/>
          <w:lang w:eastAsia="es-ES_tradnl"/>
        </w:rPr>
        <w:t>Cirjesa</w:t>
      </w:r>
      <w:proofErr w:type="spellEnd"/>
      <w:r>
        <w:rPr>
          <w:rFonts w:ascii="Arial Narrow" w:eastAsia="Malgun Gothic" w:hAnsi="Arial Narrow" w:cs="Carlito;Calibri"/>
          <w:color w:val="000000"/>
          <w:sz w:val="26"/>
          <w:szCs w:val="26"/>
          <w:lang w:eastAsia="es-ES_tradnl"/>
        </w:rPr>
        <w:t xml:space="preserve">. </w:t>
      </w:r>
    </w:p>
    <w:p w:rsidR="00082750" w:rsidRDefault="00082750" w:rsidP="00082750">
      <w:pPr>
        <w:jc w:val="both"/>
        <w:rPr>
          <w:rFonts w:ascii="Arial Narrow" w:hAnsi="Arial Narrow"/>
          <w:sz w:val="26"/>
          <w:szCs w:val="26"/>
        </w:rPr>
      </w:pPr>
    </w:p>
    <w:p w:rsidR="00082750" w:rsidRDefault="00082750" w:rsidP="00082750">
      <w:pPr>
        <w:jc w:val="both"/>
        <w:rPr>
          <w:rFonts w:ascii="Arial Narrow" w:eastAsia="Malgun Gothic" w:hAnsi="Arial Narrow" w:cs="Carlito;Calibri"/>
          <w:color w:val="000000"/>
          <w:sz w:val="26"/>
          <w:szCs w:val="26"/>
          <w:lang w:eastAsia="es-ES_tradnl"/>
        </w:rPr>
      </w:pPr>
      <w:r>
        <w:rPr>
          <w:rFonts w:ascii="Arial Narrow" w:eastAsia="Malgun Gothic" w:hAnsi="Arial Narrow" w:cs="Carlito;Calibri"/>
          <w:color w:val="000000"/>
          <w:sz w:val="26"/>
          <w:szCs w:val="26"/>
          <w:lang w:eastAsia="es-ES_tradnl"/>
        </w:rPr>
        <w:t>También se incluyen las Cuentas de las Fundaciones Locales Andrés de Ribera, Centro de Acogida San José, José Manuel Caballero Bonald y Fundación Cultural Universitaria de las Artes de Jerez, Fundarte.</w:t>
      </w:r>
    </w:p>
    <w:p w:rsidR="00082750" w:rsidRDefault="00082750" w:rsidP="00082750">
      <w:pPr>
        <w:jc w:val="both"/>
        <w:rPr>
          <w:rFonts w:ascii="Arial Narrow" w:eastAsia="Malgun Gothic" w:hAnsi="Arial Narrow" w:cs="Carlito;Calibri"/>
          <w:color w:val="000000"/>
          <w:sz w:val="26"/>
          <w:szCs w:val="26"/>
          <w:lang w:eastAsia="es-ES_tradnl"/>
        </w:rPr>
      </w:pPr>
    </w:p>
    <w:p w:rsidR="00082750" w:rsidRDefault="00082750" w:rsidP="00082750">
      <w:pPr>
        <w:jc w:val="both"/>
        <w:rPr>
          <w:rFonts w:ascii="Arial Narrow" w:hAnsi="Arial Narrow"/>
          <w:sz w:val="26"/>
          <w:szCs w:val="26"/>
        </w:rPr>
      </w:pPr>
      <w:bookmarkStart w:id="0" w:name="_GoBack"/>
      <w:bookmarkEnd w:id="0"/>
    </w:p>
    <w:p w:rsidR="00082750" w:rsidRDefault="00082750" w:rsidP="00082750">
      <w:pPr>
        <w:rPr>
          <w:rStyle w:val="Textoennegrita"/>
          <w:b w:val="0"/>
          <w:bCs w:val="0"/>
        </w:rPr>
      </w:pPr>
    </w:p>
    <w:p w:rsidR="00DC65A2" w:rsidRPr="00082750" w:rsidRDefault="00DC65A2" w:rsidP="00082750"/>
    <w:sectPr w:rsidR="00DC65A2" w:rsidRPr="00082750">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D9A" w:rsidRDefault="006D417A">
      <w:r>
        <w:separator/>
      </w:r>
    </w:p>
  </w:endnote>
  <w:endnote w:type="continuationSeparator" w:id="0">
    <w:p w:rsidR="00AD6D9A" w:rsidRDefault="006D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Malgun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lef">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rlito;Calibr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D9A" w:rsidRDefault="006D417A">
      <w:r>
        <w:separator/>
      </w:r>
    </w:p>
  </w:footnote>
  <w:footnote w:type="continuationSeparator" w:id="0">
    <w:p w:rsidR="00AD6D9A" w:rsidRDefault="006D4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5A2" w:rsidRDefault="006D417A">
    <w:pPr>
      <w:pStyle w:val="Encabezado"/>
    </w:pPr>
    <w:r>
      <w:rPr>
        <w:noProof/>
        <w:lang w:eastAsia="es-ES"/>
      </w:rPr>
      <w:drawing>
        <wp:inline distT="0" distB="0" distL="0" distR="0">
          <wp:extent cx="567118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1185" cy="816610"/>
                  </a:xfrm>
                  <a:prstGeom prst="rect">
                    <a:avLst/>
                  </a:prstGeom>
                </pic:spPr>
              </pic:pic>
            </a:graphicData>
          </a:graphic>
        </wp:inline>
      </w:drawing>
    </w:r>
  </w:p>
  <w:p w:rsidR="00DC65A2" w:rsidRDefault="00DC65A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5A2"/>
    <w:rsid w:val="00082750"/>
    <w:rsid w:val="006D417A"/>
    <w:rsid w:val="009821A2"/>
    <w:rsid w:val="00AD6D9A"/>
    <w:rsid w:val="00BA7D5A"/>
    <w:rsid w:val="00DC65A2"/>
    <w:rsid w:val="00DD32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9A8AB9-6102-4CE0-8097-77692587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51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248</Words>
  <Characters>1369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cp:lastPrinted>2026-01-05T09:55:00Z</cp:lastPrinted>
  <dcterms:created xsi:type="dcterms:W3CDTF">2026-07-22T06:44:00Z</dcterms:created>
  <dcterms:modified xsi:type="dcterms:W3CDTF">2026-07-22T10:24:00Z</dcterms:modified>
  <dc:language>es-ES</dc:language>
</cp:coreProperties>
</file>