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7B2" w:rsidRDefault="000737B2">
      <w:pPr>
        <w:jc w:val="both"/>
        <w:rPr>
          <w:rFonts w:ascii="Arial Narrow" w:hAnsi="Arial Narrow"/>
        </w:rPr>
      </w:pPr>
    </w:p>
    <w:p w:rsidR="000737B2" w:rsidRDefault="000737B2">
      <w:pPr>
        <w:jc w:val="both"/>
        <w:rPr>
          <w:rFonts w:ascii="Arial Narrow" w:hAnsi="Arial Narrow"/>
        </w:rPr>
      </w:pPr>
    </w:p>
    <w:p w:rsidR="000737B2" w:rsidRDefault="005774BA">
      <w:pPr>
        <w:jc w:val="both"/>
        <w:rPr>
          <w:rFonts w:ascii="Arial Narrow" w:hAnsi="Arial Narrow"/>
        </w:rPr>
      </w:pPr>
      <w:r>
        <w:rPr>
          <w:rFonts w:ascii="Arial Narrow" w:eastAsia="Times New Roman" w:hAnsi="Arial Narrow"/>
          <w:b/>
          <w:bCs/>
          <w:color w:val="000000"/>
          <w:sz w:val="40"/>
          <w:szCs w:val="40"/>
          <w:lang w:eastAsia="es-ES"/>
        </w:rPr>
        <w:t>La Fundación Andrés de Ribera se ha</w:t>
      </w:r>
      <w:r w:rsidR="00405964">
        <w:rPr>
          <w:rFonts w:ascii="Arial Narrow" w:eastAsia="Times New Roman" w:hAnsi="Arial Narrow"/>
          <w:b/>
          <w:bCs/>
          <w:color w:val="000000"/>
          <w:sz w:val="40"/>
          <w:szCs w:val="40"/>
          <w:lang w:eastAsia="es-ES"/>
        </w:rPr>
        <w:t>rá</w:t>
      </w:r>
      <w:r>
        <w:rPr>
          <w:rFonts w:ascii="Arial Narrow" w:eastAsia="Times New Roman" w:hAnsi="Arial Narrow"/>
          <w:b/>
          <w:bCs/>
          <w:color w:val="000000"/>
          <w:sz w:val="40"/>
          <w:szCs w:val="40"/>
          <w:lang w:eastAsia="es-ES"/>
        </w:rPr>
        <w:t xml:space="preserve"> cargo</w:t>
      </w:r>
      <w:r w:rsidR="00E95845">
        <w:rPr>
          <w:rFonts w:ascii="Arial Narrow" w:eastAsia="Times New Roman" w:hAnsi="Arial Narrow"/>
          <w:b/>
          <w:bCs/>
          <w:color w:val="000000"/>
          <w:sz w:val="40"/>
          <w:szCs w:val="40"/>
          <w:lang w:eastAsia="es-ES"/>
        </w:rPr>
        <w:t xml:space="preserve"> a partir de</w:t>
      </w:r>
      <w:r w:rsidR="00405964">
        <w:rPr>
          <w:rFonts w:ascii="Arial Narrow" w:eastAsia="Times New Roman" w:hAnsi="Arial Narrow"/>
          <w:b/>
          <w:bCs/>
          <w:color w:val="000000"/>
          <w:sz w:val="40"/>
          <w:szCs w:val="40"/>
          <w:lang w:eastAsia="es-ES"/>
        </w:rPr>
        <w:t xml:space="preserve"> octubre</w:t>
      </w:r>
      <w:r>
        <w:rPr>
          <w:rFonts w:ascii="Arial Narrow" w:eastAsia="Times New Roman" w:hAnsi="Arial Narrow"/>
          <w:b/>
          <w:bCs/>
          <w:color w:val="000000"/>
          <w:sz w:val="40"/>
          <w:szCs w:val="40"/>
          <w:lang w:eastAsia="es-ES"/>
        </w:rPr>
        <w:t xml:space="preserve"> de la gestión de los Museos de Lola Flores y del Museo del Belén</w:t>
      </w:r>
    </w:p>
    <w:p w:rsidR="000737B2" w:rsidRDefault="000737B2">
      <w:pPr>
        <w:jc w:val="both"/>
        <w:rPr>
          <w:rFonts w:ascii="Arial Narrow" w:hAnsi="Arial Narrow"/>
        </w:rPr>
      </w:pPr>
    </w:p>
    <w:p w:rsidR="000737B2" w:rsidRDefault="005774BA">
      <w:pPr>
        <w:jc w:val="both"/>
        <w:rPr>
          <w:rFonts w:ascii="Arial Narrow" w:hAnsi="Arial Narrow"/>
        </w:rPr>
      </w:pPr>
      <w:r>
        <w:rPr>
          <w:rFonts w:ascii="Arial Narrow" w:eastAsia="Times New Roman" w:hAnsi="Arial Narrow" w:cs="Arial Narrow"/>
          <w:color w:val="000000"/>
          <w:sz w:val="36"/>
          <w:szCs w:val="36"/>
          <w:lang w:eastAsia="es-ES_tradnl"/>
        </w:rPr>
        <w:t xml:space="preserve">Este cambio en la gestión se enmarca en </w:t>
      </w:r>
      <w:r w:rsidR="00C53AB3">
        <w:rPr>
          <w:rFonts w:ascii="Arial Narrow" w:eastAsia="Times New Roman" w:hAnsi="Arial Narrow" w:cs="Arial Narrow"/>
          <w:color w:val="000000"/>
          <w:sz w:val="36"/>
          <w:szCs w:val="36"/>
          <w:lang w:eastAsia="es-ES_tradnl"/>
        </w:rPr>
        <w:t xml:space="preserve">los objetivos de 'Jerez, </w:t>
      </w:r>
      <w:r w:rsidR="00E95845">
        <w:rPr>
          <w:rFonts w:ascii="Arial Narrow" w:eastAsia="Times New Roman" w:hAnsi="Arial Narrow" w:cs="Arial Narrow"/>
          <w:color w:val="000000"/>
          <w:sz w:val="36"/>
          <w:szCs w:val="36"/>
          <w:lang w:eastAsia="es-ES_tradnl"/>
        </w:rPr>
        <w:t>Ciudad de los Museos' enmarcada en el Plan Estratégico Cultural</w:t>
      </w:r>
    </w:p>
    <w:p w:rsidR="000737B2" w:rsidRDefault="000737B2">
      <w:pPr>
        <w:jc w:val="both"/>
        <w:rPr>
          <w:rFonts w:ascii="Arial Narrow" w:hAnsi="Arial Narrow"/>
          <w:sz w:val="36"/>
          <w:szCs w:val="36"/>
        </w:rPr>
      </w:pPr>
    </w:p>
    <w:p w:rsidR="000737B2" w:rsidRDefault="0002214E">
      <w:pPr>
        <w:jc w:val="both"/>
        <w:rPr>
          <w:rFonts w:ascii="Arial Narrow" w:eastAsia="Arial" w:hAnsi="Arial Narrow" w:cs="Arial Narrow"/>
          <w:color w:val="242424"/>
          <w:sz w:val="26"/>
          <w:szCs w:val="26"/>
          <w:lang w:eastAsia="es-ES_tradnl"/>
        </w:rPr>
      </w:pPr>
      <w:r>
        <w:rPr>
          <w:rFonts w:ascii="Arial Narrow" w:hAnsi="Arial Narrow"/>
          <w:b/>
          <w:sz w:val="26"/>
          <w:szCs w:val="26"/>
        </w:rPr>
        <w:t>28 de julio 2026</w:t>
      </w:r>
      <w:r>
        <w:rPr>
          <w:rFonts w:ascii="Arial Narrow" w:hAnsi="Arial Narrow"/>
          <w:sz w:val="26"/>
          <w:szCs w:val="26"/>
        </w:rPr>
        <w:t xml:space="preserve">.- </w:t>
      </w:r>
      <w:r w:rsidR="00B43392">
        <w:rPr>
          <w:rFonts w:ascii="Arial Narrow" w:eastAsia="Arial" w:hAnsi="Arial Narrow" w:cs="Arial Narrow"/>
          <w:color w:val="242424"/>
          <w:sz w:val="26"/>
          <w:szCs w:val="26"/>
          <w:lang w:eastAsia="es-ES_tradnl"/>
        </w:rPr>
        <w:t>Este</w:t>
      </w:r>
      <w:r w:rsidR="00E95845">
        <w:rPr>
          <w:rFonts w:ascii="Arial Narrow" w:eastAsia="Arial" w:hAnsi="Arial Narrow" w:cs="Arial Narrow"/>
          <w:color w:val="242424"/>
          <w:sz w:val="26"/>
          <w:szCs w:val="26"/>
          <w:lang w:eastAsia="es-ES_tradnl"/>
        </w:rPr>
        <w:t xml:space="preserve"> miércoles</w:t>
      </w:r>
      <w:r w:rsidR="00B43392">
        <w:rPr>
          <w:rFonts w:ascii="Arial Narrow" w:eastAsia="Arial" w:hAnsi="Arial Narrow" w:cs="Arial Narrow"/>
          <w:color w:val="242424"/>
          <w:sz w:val="26"/>
          <w:szCs w:val="26"/>
          <w:lang w:eastAsia="es-ES_tradnl"/>
        </w:rPr>
        <w:t xml:space="preserve"> se han celebrado</w:t>
      </w:r>
      <w:bookmarkStart w:id="0" w:name="_GoBack"/>
      <w:bookmarkEnd w:id="0"/>
      <w:r w:rsidR="00E95845">
        <w:rPr>
          <w:rFonts w:ascii="Arial Narrow" w:eastAsia="Arial" w:hAnsi="Arial Narrow" w:cs="Arial Narrow"/>
          <w:color w:val="242424"/>
          <w:sz w:val="26"/>
          <w:szCs w:val="26"/>
          <w:lang w:eastAsia="es-ES_tradnl"/>
        </w:rPr>
        <w:t xml:space="preserve"> en el Ayuntamiento los Patronatos de la Fundación Andrés de Ribera y de la Fundación Cultural Universitaria de las Artes de Jerez, Fundación Pública Local, Fundarte, en los que se ha aprobado la finalización de la gestión de los espacios museísticos municipales Lola Flores I y II y el Museo del Belén por parte de Fundarte y su adscripción a la FAR, adscripción que se hará efectiva a partir del próximo 1 de octubre. </w:t>
      </w:r>
    </w:p>
    <w:p w:rsidR="00A174A8" w:rsidRDefault="00A174A8">
      <w:pPr>
        <w:jc w:val="both"/>
        <w:rPr>
          <w:rFonts w:ascii="Arial Narrow" w:eastAsia="Arial" w:hAnsi="Arial Narrow" w:cs="Arial Narrow"/>
          <w:color w:val="242424"/>
          <w:sz w:val="26"/>
          <w:szCs w:val="26"/>
          <w:lang w:eastAsia="es-ES_tradnl"/>
        </w:rPr>
      </w:pPr>
    </w:p>
    <w:p w:rsidR="00405964" w:rsidRDefault="00A174A8" w:rsidP="00405964">
      <w:pPr>
        <w:jc w:val="both"/>
        <w:rPr>
          <w:rFonts w:ascii="Arial Narrow" w:hAnsi="Arial Narrow"/>
          <w:sz w:val="26"/>
          <w:szCs w:val="26"/>
        </w:rPr>
      </w:pPr>
      <w:r>
        <w:rPr>
          <w:rFonts w:ascii="Arial Narrow" w:eastAsia="Arial" w:hAnsi="Arial Narrow" w:cs="Arial Narrow"/>
          <w:color w:val="242424"/>
          <w:sz w:val="26"/>
          <w:szCs w:val="26"/>
          <w:lang w:eastAsia="es-ES_tradnl"/>
        </w:rPr>
        <w:t xml:space="preserve">Tal y como explicó el primer teniente de alcaldesa, Agustín Muñoz, en el Pleno ordinario celebrado este pasado viernes, este cambio de gestión se realiza al objeto de dotar a estos centros </w:t>
      </w:r>
      <w:r w:rsidR="00405964">
        <w:rPr>
          <w:rFonts w:ascii="Arial Narrow" w:hAnsi="Arial Narrow"/>
          <w:sz w:val="26"/>
          <w:szCs w:val="26"/>
        </w:rPr>
        <w:t xml:space="preserve">de una gestión más ágil, coordinada y eficiente, consolidando así la oferta cultural de la ciudad.  </w:t>
      </w:r>
      <w:r>
        <w:rPr>
          <w:rFonts w:ascii="Arial Narrow" w:hAnsi="Arial Narrow"/>
          <w:sz w:val="26"/>
          <w:szCs w:val="26"/>
        </w:rPr>
        <w:t xml:space="preserve">Se trata, como señaló Muñoz, de optimizar los recursos humanos y técnicos, racionalizar el gasto y diseñar estrategias conjuntas para mejorar la promoción </w:t>
      </w:r>
      <w:r w:rsidR="00405964">
        <w:rPr>
          <w:rFonts w:ascii="Arial Narrow" w:hAnsi="Arial Narrow"/>
          <w:sz w:val="26"/>
          <w:szCs w:val="26"/>
        </w:rPr>
        <w:t xml:space="preserve">turística y reforzar el impacto desde el punto de vista social, económico, cultural y turístico. </w:t>
      </w:r>
    </w:p>
    <w:p w:rsidR="00A957B8" w:rsidRDefault="00A957B8" w:rsidP="00405964">
      <w:pPr>
        <w:jc w:val="both"/>
        <w:rPr>
          <w:rFonts w:ascii="Arial Narrow" w:hAnsi="Arial Narrow"/>
          <w:sz w:val="26"/>
          <w:szCs w:val="26"/>
        </w:rPr>
      </w:pPr>
    </w:p>
    <w:p w:rsidR="00591A6D" w:rsidRDefault="00A957B8" w:rsidP="00591A6D">
      <w:pPr>
        <w:jc w:val="both"/>
        <w:rPr>
          <w:rFonts w:ascii="Arial Narrow" w:hAnsi="Arial Narrow"/>
          <w:sz w:val="26"/>
          <w:szCs w:val="26"/>
        </w:rPr>
      </w:pPr>
      <w:r>
        <w:rPr>
          <w:rFonts w:ascii="Arial Narrow" w:hAnsi="Arial Narrow"/>
          <w:sz w:val="26"/>
          <w:szCs w:val="26"/>
        </w:rPr>
        <w:t>En este sentido, este cambio de adscripción se enmarca en los objeti</w:t>
      </w:r>
      <w:r w:rsidR="00BE048B">
        <w:rPr>
          <w:rFonts w:ascii="Arial Narrow" w:hAnsi="Arial Narrow"/>
          <w:sz w:val="26"/>
          <w:szCs w:val="26"/>
        </w:rPr>
        <w:t xml:space="preserve">vos de 'Jerez, Ciudad Cultural y cumple con el Plan Estratégico Cultural. Tal y como señaló </w:t>
      </w:r>
      <w:r w:rsidR="00591A6D">
        <w:rPr>
          <w:rFonts w:ascii="Arial Narrow" w:hAnsi="Arial Narrow"/>
          <w:sz w:val="26"/>
          <w:szCs w:val="26"/>
        </w:rPr>
        <w:t xml:space="preserve">la alcaldesa de Jerez, María José García-Pelayo, durante el Debate del Estado de la Ciudad, Jerez sigue apostando por la cultura como un motor de desarrollo, cohesión social y proyección internacional por lo que se ha puesto en marcha  'Jerez, Ciudad Cultural', </w:t>
      </w:r>
      <w:r w:rsidR="006B7783">
        <w:rPr>
          <w:rFonts w:ascii="Arial Narrow" w:hAnsi="Arial Narrow"/>
          <w:sz w:val="26"/>
          <w:szCs w:val="26"/>
        </w:rPr>
        <w:t>"</w:t>
      </w:r>
      <w:r w:rsidR="00591A6D">
        <w:rPr>
          <w:rFonts w:ascii="Arial Narrow" w:hAnsi="Arial Narrow"/>
          <w:sz w:val="26"/>
          <w:szCs w:val="26"/>
        </w:rPr>
        <w:t>un proyecto que nace como legado de la candidatura de Jerez a Capital Europea de la Cultura 2031 para preservar y mantener una cultura estable y con vocación de permanencia para la ciudad, por lo que constituye la continuidad natural del trabajo desarrollado durante la Candidatura. La ciudad ha decidido mantener vivos sus objetivos estratégicos, consolidando una programación cultural de calidad, fortaleciendo la participación con los agentes claves</w:t>
      </w:r>
      <w:r w:rsidR="006B7783">
        <w:rPr>
          <w:rFonts w:ascii="Arial Narrow" w:hAnsi="Arial Narrow"/>
          <w:sz w:val="26"/>
          <w:szCs w:val="26"/>
        </w:rPr>
        <w:t>"</w:t>
      </w:r>
      <w:r w:rsidR="00591A6D">
        <w:rPr>
          <w:rFonts w:ascii="Arial Narrow" w:hAnsi="Arial Narrow"/>
          <w:sz w:val="26"/>
          <w:szCs w:val="26"/>
        </w:rPr>
        <w:t>.</w:t>
      </w:r>
    </w:p>
    <w:p w:rsidR="00B97741" w:rsidRDefault="00B97741" w:rsidP="00591A6D">
      <w:pPr>
        <w:jc w:val="both"/>
        <w:rPr>
          <w:rFonts w:ascii="Arial Narrow" w:hAnsi="Arial Narrow"/>
          <w:sz w:val="26"/>
          <w:szCs w:val="26"/>
        </w:rPr>
      </w:pPr>
    </w:p>
    <w:p w:rsidR="00B97741" w:rsidRPr="00B97741" w:rsidRDefault="00B97741" w:rsidP="00B97741">
      <w:pPr>
        <w:jc w:val="both"/>
        <w:rPr>
          <w:rFonts w:ascii="Arial Narrow" w:eastAsia="Times New Roman" w:hAnsi="Arial Narrow" w:cs="Times New Roman"/>
          <w:sz w:val="26"/>
          <w:szCs w:val="26"/>
          <w:lang w:eastAsia="es-ES"/>
        </w:rPr>
      </w:pPr>
      <w:r w:rsidRPr="00B97741">
        <w:rPr>
          <w:rFonts w:ascii="Arial Narrow" w:eastAsia="Times New Roman" w:hAnsi="Arial Narrow" w:cs="Arial"/>
          <w:color w:val="000000"/>
          <w:sz w:val="26"/>
          <w:szCs w:val="26"/>
          <w:lang w:eastAsia="es-ES"/>
        </w:rPr>
        <w:t xml:space="preserve">Entre sus ejes estratégicos, Jerez Ciudad Cultural contempla el fortalecimiento de las infraestructuras y equipamientos culturales, al entender que constituyen un elemento esencial para consolidar un ecosistema creativo innovador, accesible y competitivo. Dentro de este marco, se impulsan iniciativas para la modernización y cualificación de la red de espacios museísticos y expositivos. El objetivo no pasa solo por mejorar sus prestaciones técnicas y funcionales, incrementar su capacidad de acogida y dotarlos de los recursos necesarios para responder a las demandas actuales de artistas, profesionales, entidades </w:t>
      </w:r>
      <w:r w:rsidRPr="00B97741">
        <w:rPr>
          <w:rFonts w:ascii="Arial Narrow" w:eastAsia="Times New Roman" w:hAnsi="Arial Narrow" w:cs="Arial"/>
          <w:color w:val="000000"/>
          <w:sz w:val="26"/>
          <w:szCs w:val="26"/>
          <w:lang w:eastAsia="es-ES"/>
        </w:rPr>
        <w:lastRenderedPageBreak/>
        <w:t>y ciudadanía, sino también fomentar una verdadera interacción y sinergia entre ellos, funcionando de manera conectada y en red, aumentando así su impacto cultural y creando un itinerario para toda la ciudad.</w:t>
      </w:r>
    </w:p>
    <w:p w:rsidR="00B97741" w:rsidRDefault="00B97741" w:rsidP="00591A6D">
      <w:pPr>
        <w:jc w:val="both"/>
        <w:rPr>
          <w:rFonts w:ascii="Arial Narrow" w:hAnsi="Arial Narrow"/>
          <w:sz w:val="26"/>
          <w:szCs w:val="26"/>
        </w:rPr>
      </w:pPr>
    </w:p>
    <w:p w:rsidR="005C6FFA" w:rsidRDefault="00591A6D" w:rsidP="00591A6D">
      <w:pPr>
        <w:jc w:val="both"/>
        <w:rPr>
          <w:rFonts w:ascii="Arial Narrow" w:hAnsi="Arial Narrow"/>
          <w:sz w:val="26"/>
          <w:szCs w:val="26"/>
        </w:rPr>
      </w:pPr>
      <w:r>
        <w:rPr>
          <w:rFonts w:ascii="Arial Narrow" w:hAnsi="Arial Narrow"/>
          <w:sz w:val="26"/>
          <w:szCs w:val="26"/>
        </w:rPr>
        <w:t xml:space="preserve">En consonancia con esta programación de calidad, la alcaldesa señaló que </w:t>
      </w:r>
      <w:r w:rsidR="0000548E">
        <w:rPr>
          <w:rFonts w:ascii="Arial Narrow" w:hAnsi="Arial Narrow"/>
          <w:sz w:val="26"/>
          <w:szCs w:val="26"/>
        </w:rPr>
        <w:t xml:space="preserve">uno de los objetivos es trabajar para consolidar 'La Ciudad de los Museos' y este cambio de gestión </w:t>
      </w:r>
      <w:r w:rsidR="00D00042">
        <w:rPr>
          <w:rFonts w:ascii="Arial Narrow" w:hAnsi="Arial Narrow"/>
          <w:sz w:val="26"/>
          <w:szCs w:val="26"/>
        </w:rPr>
        <w:t xml:space="preserve">se enmarca en esta línea de trabajo al igual que la </w:t>
      </w:r>
      <w:r w:rsidR="005C6FFA">
        <w:rPr>
          <w:rFonts w:ascii="Arial Narrow" w:hAnsi="Arial Narrow"/>
          <w:sz w:val="26"/>
          <w:szCs w:val="26"/>
        </w:rPr>
        <w:t xml:space="preserve">adaptación del espacio expositivo </w:t>
      </w:r>
      <w:r w:rsidR="00D00042">
        <w:rPr>
          <w:rFonts w:ascii="Arial Narrow" w:hAnsi="Arial Narrow"/>
          <w:sz w:val="26"/>
          <w:szCs w:val="26"/>
        </w:rPr>
        <w:t xml:space="preserve">de </w:t>
      </w:r>
      <w:r w:rsidR="006B7783">
        <w:rPr>
          <w:rFonts w:ascii="Arial Narrow" w:hAnsi="Arial Narrow"/>
          <w:sz w:val="26"/>
          <w:szCs w:val="26"/>
        </w:rPr>
        <w:t xml:space="preserve">los Claustros de Santo Domingo </w:t>
      </w:r>
      <w:r w:rsidR="005C6FFA">
        <w:rPr>
          <w:rFonts w:ascii="Arial Narrow" w:hAnsi="Arial Narrow"/>
          <w:sz w:val="26"/>
          <w:szCs w:val="26"/>
        </w:rPr>
        <w:t xml:space="preserve">con cargo a los fondos EDIL o la creación de un nuevo espacio museístico en el Palacio Riquelme. </w:t>
      </w:r>
    </w:p>
    <w:p w:rsidR="005C6FFA" w:rsidRDefault="005C6FFA" w:rsidP="00591A6D">
      <w:pPr>
        <w:jc w:val="both"/>
        <w:rPr>
          <w:rFonts w:ascii="Arial Narrow" w:hAnsi="Arial Narrow"/>
          <w:sz w:val="26"/>
          <w:szCs w:val="26"/>
        </w:rPr>
      </w:pPr>
    </w:p>
    <w:p w:rsidR="005F44DE" w:rsidRDefault="005C6FFA" w:rsidP="005F44DE">
      <w:pPr>
        <w:jc w:val="both"/>
        <w:rPr>
          <w:rFonts w:ascii="Arial Narrow" w:hAnsi="Arial Narrow"/>
          <w:sz w:val="26"/>
          <w:szCs w:val="26"/>
        </w:rPr>
      </w:pPr>
      <w:r>
        <w:rPr>
          <w:rFonts w:ascii="Arial Narrow" w:hAnsi="Arial Narrow"/>
          <w:sz w:val="26"/>
          <w:szCs w:val="26"/>
        </w:rPr>
        <w:t xml:space="preserve">"La cultura tiene un fuerte impacto </w:t>
      </w:r>
      <w:r w:rsidR="00405964">
        <w:rPr>
          <w:rFonts w:ascii="Arial Narrow" w:hAnsi="Arial Narrow"/>
          <w:sz w:val="26"/>
          <w:szCs w:val="26"/>
        </w:rPr>
        <w:t xml:space="preserve">turístico, social y </w:t>
      </w:r>
      <w:r w:rsidR="00191E1B">
        <w:rPr>
          <w:rFonts w:ascii="Arial Narrow" w:hAnsi="Arial Narrow"/>
          <w:sz w:val="26"/>
          <w:szCs w:val="26"/>
        </w:rPr>
        <w:t>económico en la ciudad por lo que seguimos trabajando en el legado que nos dejó la Capitalidad con el proyecto 'Je</w:t>
      </w:r>
      <w:r w:rsidR="00193D28">
        <w:rPr>
          <w:rFonts w:ascii="Arial Narrow" w:hAnsi="Arial Narrow"/>
          <w:sz w:val="26"/>
          <w:szCs w:val="26"/>
        </w:rPr>
        <w:t xml:space="preserve">rez, Ciudad Cultural', en el que se enmarca propuestas culturales como la apuesta por la Feria del Libro, la celebración del Encuentro Anual del Instituto Cervantes o el centenario de José Manuel Caballero Bonald", ha afirmado la alcaldesa. </w:t>
      </w:r>
    </w:p>
    <w:p w:rsidR="005F44DE" w:rsidRDefault="005F44DE" w:rsidP="005F44DE">
      <w:pPr>
        <w:jc w:val="both"/>
        <w:rPr>
          <w:rFonts w:ascii="Arial Narrow" w:hAnsi="Arial Narrow"/>
          <w:sz w:val="26"/>
          <w:szCs w:val="26"/>
        </w:rPr>
      </w:pPr>
    </w:p>
    <w:p w:rsidR="00B83423" w:rsidRDefault="005F44DE" w:rsidP="005F44DE">
      <w:pPr>
        <w:jc w:val="both"/>
        <w:rPr>
          <w:rFonts w:ascii="Arial Narrow" w:eastAsia="Times New Roman" w:hAnsi="Arial Narrow" w:cs="Times New Roman"/>
          <w:color w:val="000000"/>
          <w:sz w:val="26"/>
          <w:szCs w:val="26"/>
          <w:lang w:eastAsia="es-ES"/>
        </w:rPr>
      </w:pPr>
      <w:r>
        <w:rPr>
          <w:rFonts w:ascii="Arial Narrow" w:eastAsia="Times New Roman" w:hAnsi="Arial Narrow" w:cs="Times New Roman"/>
          <w:color w:val="000000"/>
          <w:sz w:val="26"/>
          <w:szCs w:val="26"/>
          <w:lang w:eastAsia="es-ES"/>
        </w:rPr>
        <w:t>El cambio de adscripción</w:t>
      </w:r>
      <w:r w:rsidRPr="005F44DE">
        <w:rPr>
          <w:rFonts w:ascii="Arial Narrow" w:eastAsia="Times New Roman" w:hAnsi="Arial Narrow" w:cs="Times New Roman"/>
          <w:color w:val="000000"/>
          <w:sz w:val="26"/>
          <w:szCs w:val="26"/>
          <w:lang w:eastAsia="es-ES"/>
        </w:rPr>
        <w:t xml:space="preserve"> se ajusta plenamente a los fines fundacionales de </w:t>
      </w:r>
      <w:r>
        <w:rPr>
          <w:rFonts w:ascii="Arial Narrow" w:eastAsia="Times New Roman" w:hAnsi="Arial Narrow" w:cs="Times New Roman"/>
          <w:color w:val="000000"/>
          <w:sz w:val="26"/>
          <w:szCs w:val="26"/>
          <w:lang w:eastAsia="es-ES"/>
        </w:rPr>
        <w:t>la FAR</w:t>
      </w:r>
      <w:r w:rsidRPr="005F44DE">
        <w:rPr>
          <w:rFonts w:ascii="Arial Narrow" w:eastAsia="Times New Roman" w:hAnsi="Arial Narrow" w:cs="Times New Roman"/>
          <w:color w:val="000000"/>
          <w:sz w:val="26"/>
          <w:szCs w:val="26"/>
          <w:lang w:eastAsia="es-ES"/>
        </w:rPr>
        <w:t>, previstos en los artículos 4 y 5 de sus Es</w:t>
      </w:r>
      <w:r>
        <w:rPr>
          <w:rFonts w:ascii="Arial Narrow" w:eastAsia="Times New Roman" w:hAnsi="Arial Narrow" w:cs="Times New Roman"/>
          <w:color w:val="000000"/>
          <w:sz w:val="26"/>
          <w:szCs w:val="26"/>
          <w:lang w:eastAsia="es-ES"/>
        </w:rPr>
        <w:t>tatutos, que contemplan expresa</w:t>
      </w:r>
      <w:r w:rsidRPr="005F44DE">
        <w:rPr>
          <w:rFonts w:ascii="Arial Narrow" w:eastAsia="Times New Roman" w:hAnsi="Arial Narrow" w:cs="Times New Roman"/>
          <w:color w:val="000000"/>
          <w:sz w:val="26"/>
          <w:szCs w:val="26"/>
          <w:lang w:eastAsia="es-ES"/>
        </w:rPr>
        <w:t xml:space="preserve">mente la promoción cultural y turística y </w:t>
      </w:r>
      <w:r>
        <w:rPr>
          <w:rFonts w:ascii="Arial Narrow" w:eastAsia="Times New Roman" w:hAnsi="Arial Narrow" w:cs="Times New Roman"/>
          <w:color w:val="000000"/>
          <w:sz w:val="26"/>
          <w:szCs w:val="26"/>
          <w:lang w:eastAsia="es-ES"/>
        </w:rPr>
        <w:t>la gestión de equipamientos cul</w:t>
      </w:r>
      <w:r w:rsidRPr="005F44DE">
        <w:rPr>
          <w:rFonts w:ascii="Arial Narrow" w:eastAsia="Times New Roman" w:hAnsi="Arial Narrow" w:cs="Times New Roman"/>
          <w:color w:val="000000"/>
          <w:sz w:val="26"/>
          <w:szCs w:val="26"/>
          <w:lang w:eastAsia="es-ES"/>
        </w:rPr>
        <w:t>turales. Asimismo, encuentra respaldo en la normativa aplicable en materia de régimen local, fundaciones, patrimonio</w:t>
      </w:r>
      <w:r>
        <w:rPr>
          <w:rFonts w:ascii="Arial Narrow" w:eastAsia="Times New Roman" w:hAnsi="Arial Narrow" w:cs="Times New Roman"/>
          <w:color w:val="000000"/>
          <w:sz w:val="26"/>
          <w:szCs w:val="26"/>
          <w:lang w:eastAsia="es-ES"/>
        </w:rPr>
        <w:t xml:space="preserve"> público y organización adminis</w:t>
      </w:r>
      <w:r w:rsidRPr="005F44DE">
        <w:rPr>
          <w:rFonts w:ascii="Arial Narrow" w:eastAsia="Times New Roman" w:hAnsi="Arial Narrow" w:cs="Times New Roman"/>
          <w:color w:val="000000"/>
          <w:sz w:val="26"/>
          <w:szCs w:val="26"/>
          <w:lang w:eastAsia="es-ES"/>
        </w:rPr>
        <w:t>trativa.</w:t>
      </w:r>
    </w:p>
    <w:p w:rsidR="00B83423" w:rsidRDefault="00B83423" w:rsidP="005F44DE">
      <w:pPr>
        <w:jc w:val="both"/>
        <w:rPr>
          <w:rFonts w:ascii="Arial Narrow" w:eastAsia="Times New Roman" w:hAnsi="Arial Narrow" w:cs="Times New Roman"/>
          <w:color w:val="000000"/>
          <w:sz w:val="26"/>
          <w:szCs w:val="26"/>
          <w:lang w:eastAsia="es-ES"/>
        </w:rPr>
      </w:pPr>
    </w:p>
    <w:p w:rsidR="00624397" w:rsidRDefault="00B83423" w:rsidP="00405964">
      <w:pPr>
        <w:jc w:val="both"/>
        <w:rPr>
          <w:rFonts w:ascii="Arial Narrow" w:eastAsia="Times New Roman" w:hAnsi="Arial Narrow" w:cs="Times New Roman"/>
          <w:color w:val="000000"/>
          <w:sz w:val="26"/>
          <w:szCs w:val="26"/>
          <w:lang w:eastAsia="es-ES"/>
        </w:rPr>
      </w:pPr>
      <w:r w:rsidRPr="00B83423">
        <w:rPr>
          <w:rFonts w:ascii="Arial Narrow" w:hAnsi="Arial Narrow"/>
          <w:color w:val="000000"/>
          <w:sz w:val="26"/>
          <w:szCs w:val="26"/>
        </w:rPr>
        <w:t xml:space="preserve">La propuesta no responde a deficiencias en la gestión desarrollada por </w:t>
      </w:r>
      <w:r>
        <w:rPr>
          <w:rFonts w:ascii="Arial Narrow" w:hAnsi="Arial Narrow"/>
          <w:color w:val="000000"/>
          <w:sz w:val="26"/>
          <w:szCs w:val="26"/>
        </w:rPr>
        <w:t>Fundarte</w:t>
      </w:r>
      <w:r w:rsidRPr="00B83423">
        <w:rPr>
          <w:rFonts w:ascii="Arial Narrow" w:hAnsi="Arial Narrow"/>
          <w:color w:val="000000"/>
          <w:sz w:val="26"/>
          <w:szCs w:val="26"/>
        </w:rPr>
        <w:t>, que ha desempeñado una labor plenamente satisfactoria en la puesta en marcha, consolidación y dinamización del Museo Lola Flores I y del Museo del Belén, así como en el desarrollo del proyecto museístico del Museo Lola Flores II. La iniciativa obedec</w:t>
      </w:r>
      <w:r>
        <w:rPr>
          <w:rFonts w:ascii="Arial Narrow" w:hAnsi="Arial Narrow"/>
          <w:color w:val="000000"/>
          <w:sz w:val="26"/>
          <w:szCs w:val="26"/>
        </w:rPr>
        <w:t>e exclusivamente a la convenien</w:t>
      </w:r>
      <w:r w:rsidRPr="00B83423">
        <w:rPr>
          <w:rFonts w:ascii="Arial Narrow" w:hAnsi="Arial Narrow"/>
          <w:color w:val="000000"/>
          <w:sz w:val="26"/>
          <w:szCs w:val="26"/>
        </w:rPr>
        <w:t>cia de implantar un modelo organizativo más eficiente e integrado</w:t>
      </w:r>
      <w:r>
        <w:rPr>
          <w:rFonts w:ascii="Arial Narrow" w:hAnsi="Arial Narrow"/>
          <w:color w:val="000000"/>
          <w:sz w:val="26"/>
          <w:szCs w:val="26"/>
        </w:rPr>
        <w:t>.</w:t>
      </w:r>
      <w:r w:rsidR="00624397">
        <w:rPr>
          <w:rFonts w:ascii="Arial Narrow" w:eastAsia="Times New Roman" w:hAnsi="Arial Narrow" w:cs="Times New Roman"/>
          <w:color w:val="000000"/>
          <w:sz w:val="26"/>
          <w:szCs w:val="26"/>
          <w:lang w:eastAsia="es-ES"/>
        </w:rPr>
        <w:t xml:space="preserve"> </w:t>
      </w:r>
    </w:p>
    <w:p w:rsidR="00624397" w:rsidRDefault="00624397" w:rsidP="00405964">
      <w:pPr>
        <w:jc w:val="both"/>
        <w:rPr>
          <w:rFonts w:ascii="Arial Narrow" w:eastAsia="Times New Roman" w:hAnsi="Arial Narrow" w:cs="Times New Roman"/>
          <w:color w:val="000000"/>
          <w:sz w:val="26"/>
          <w:szCs w:val="26"/>
          <w:lang w:eastAsia="es-ES"/>
        </w:rPr>
      </w:pPr>
    </w:p>
    <w:p w:rsidR="00191E1B" w:rsidRDefault="00624397" w:rsidP="00405964">
      <w:pPr>
        <w:jc w:val="both"/>
        <w:rPr>
          <w:rFonts w:ascii="Arial Narrow" w:hAnsi="Arial Narrow"/>
          <w:color w:val="000000"/>
          <w:sz w:val="26"/>
          <w:szCs w:val="26"/>
        </w:rPr>
      </w:pPr>
      <w:r w:rsidRPr="00624397">
        <w:rPr>
          <w:rFonts w:ascii="Arial Narrow" w:hAnsi="Arial Narrow"/>
          <w:color w:val="000000"/>
          <w:sz w:val="26"/>
          <w:szCs w:val="26"/>
        </w:rPr>
        <w:t xml:space="preserve">En definitiva, </w:t>
      </w:r>
      <w:r>
        <w:rPr>
          <w:rFonts w:ascii="Arial Narrow" w:hAnsi="Arial Narrow"/>
          <w:color w:val="000000"/>
          <w:sz w:val="26"/>
          <w:szCs w:val="26"/>
        </w:rPr>
        <w:t>el cambio</w:t>
      </w:r>
      <w:r w:rsidRPr="00624397">
        <w:rPr>
          <w:rFonts w:ascii="Arial Narrow" w:hAnsi="Arial Narrow"/>
          <w:color w:val="000000"/>
          <w:sz w:val="26"/>
          <w:szCs w:val="26"/>
        </w:rPr>
        <w:t xml:space="preserve"> se fundamenta en criterios de interés público, eficacia organizativa, eficiencia en la gestión de los recursos públicos y buena administración, garantizando en todo momento la continuidad del servicio público cultural, la adecuada conser</w:t>
      </w:r>
      <w:r>
        <w:rPr>
          <w:rFonts w:ascii="Arial Narrow" w:hAnsi="Arial Narrow"/>
          <w:color w:val="000000"/>
          <w:sz w:val="26"/>
          <w:szCs w:val="26"/>
        </w:rPr>
        <w:t>vación de los bienes y una tran</w:t>
      </w:r>
      <w:r w:rsidRPr="00624397">
        <w:rPr>
          <w:rFonts w:ascii="Arial Narrow" w:hAnsi="Arial Narrow"/>
          <w:color w:val="000000"/>
          <w:sz w:val="26"/>
          <w:szCs w:val="26"/>
        </w:rPr>
        <w:t>sición ordenada de la gestión entre ambas fundaciones.</w:t>
      </w:r>
    </w:p>
    <w:p w:rsidR="00B97741" w:rsidRDefault="00B97741" w:rsidP="00405964">
      <w:pPr>
        <w:jc w:val="both"/>
        <w:rPr>
          <w:rFonts w:ascii="Arial Narrow" w:hAnsi="Arial Narrow"/>
          <w:color w:val="000000"/>
          <w:sz w:val="26"/>
          <w:szCs w:val="26"/>
        </w:rPr>
      </w:pPr>
    </w:p>
    <w:p w:rsidR="00B97741" w:rsidRPr="00624397" w:rsidRDefault="00B97741" w:rsidP="00405964">
      <w:pPr>
        <w:jc w:val="both"/>
        <w:rPr>
          <w:rFonts w:ascii="Arial Narrow" w:eastAsia="Times New Roman" w:hAnsi="Arial Narrow" w:cs="Times New Roman"/>
          <w:color w:val="000000"/>
          <w:sz w:val="26"/>
          <w:szCs w:val="26"/>
          <w:lang w:eastAsia="es-ES"/>
        </w:rPr>
      </w:pPr>
      <w:r>
        <w:rPr>
          <w:rFonts w:ascii="Arial Narrow" w:hAnsi="Arial Narrow"/>
          <w:color w:val="000000"/>
          <w:sz w:val="26"/>
          <w:szCs w:val="26"/>
        </w:rPr>
        <w:t>(Se adjunta fotografía)</w:t>
      </w:r>
    </w:p>
    <w:p w:rsidR="00405964" w:rsidRDefault="00405964" w:rsidP="00405964">
      <w:pPr>
        <w:jc w:val="both"/>
        <w:rPr>
          <w:rFonts w:ascii="Arial Narrow" w:hAnsi="Arial Narrow"/>
          <w:sz w:val="26"/>
          <w:szCs w:val="26"/>
        </w:rPr>
      </w:pPr>
      <w:r>
        <w:rPr>
          <w:rFonts w:ascii="Arial Narrow" w:hAnsi="Arial Narrow"/>
          <w:sz w:val="26"/>
          <w:szCs w:val="26"/>
        </w:rPr>
        <w:t xml:space="preserve"> </w:t>
      </w:r>
    </w:p>
    <w:p w:rsidR="00405964" w:rsidRDefault="00405964">
      <w:pPr>
        <w:jc w:val="both"/>
        <w:rPr>
          <w:rFonts w:ascii="Arial Narrow" w:hAnsi="Arial Narrow"/>
          <w:sz w:val="26"/>
          <w:szCs w:val="26"/>
        </w:rPr>
      </w:pPr>
    </w:p>
    <w:p w:rsidR="000737B2" w:rsidRDefault="000737B2">
      <w:pPr>
        <w:jc w:val="both"/>
        <w:rPr>
          <w:rFonts w:ascii="Arial Narrow" w:eastAsia="Arial" w:hAnsi="Arial Narrow" w:cs="Arial Narrow"/>
          <w:color w:val="242424"/>
          <w:sz w:val="26"/>
          <w:szCs w:val="26"/>
          <w:lang w:eastAsia="es-ES_tradnl"/>
        </w:rPr>
      </w:pPr>
    </w:p>
    <w:p w:rsidR="000737B2" w:rsidRDefault="000737B2" w:rsidP="0023310D">
      <w:pPr>
        <w:jc w:val="both"/>
        <w:rPr>
          <w:rFonts w:ascii="Arial Narrow" w:hAnsi="Arial Narrow"/>
          <w:color w:val="0000EE"/>
          <w:sz w:val="26"/>
          <w:szCs w:val="26"/>
        </w:rPr>
      </w:pPr>
    </w:p>
    <w:p w:rsidR="00405964" w:rsidRDefault="00405964" w:rsidP="0023310D">
      <w:pPr>
        <w:jc w:val="both"/>
        <w:rPr>
          <w:rFonts w:ascii="Arial Narrow" w:hAnsi="Arial Narrow"/>
          <w:color w:val="0000EE"/>
          <w:sz w:val="26"/>
          <w:szCs w:val="26"/>
        </w:rPr>
      </w:pPr>
    </w:p>
    <w:sectPr w:rsidR="00405964">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CB8" w:rsidRDefault="0002214E">
      <w:r>
        <w:separator/>
      </w:r>
    </w:p>
  </w:endnote>
  <w:endnote w:type="continuationSeparator" w:id="0">
    <w:p w:rsidR="00253CB8" w:rsidRDefault="0002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CB8" w:rsidRDefault="0002214E">
      <w:r>
        <w:separator/>
      </w:r>
    </w:p>
  </w:footnote>
  <w:footnote w:type="continuationSeparator" w:id="0">
    <w:p w:rsidR="00253CB8" w:rsidRDefault="000221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37B2" w:rsidRDefault="0002214E">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0737B2" w:rsidRDefault="000737B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7B2"/>
    <w:rsid w:val="0000548E"/>
    <w:rsid w:val="0002214E"/>
    <w:rsid w:val="000737B2"/>
    <w:rsid w:val="00191E1B"/>
    <w:rsid w:val="00193D28"/>
    <w:rsid w:val="0023310D"/>
    <w:rsid w:val="00253CB8"/>
    <w:rsid w:val="00256030"/>
    <w:rsid w:val="00405964"/>
    <w:rsid w:val="005774BA"/>
    <w:rsid w:val="00591A6D"/>
    <w:rsid w:val="005C6FFA"/>
    <w:rsid w:val="005F44DE"/>
    <w:rsid w:val="00624397"/>
    <w:rsid w:val="006B7783"/>
    <w:rsid w:val="00A174A8"/>
    <w:rsid w:val="00A957B8"/>
    <w:rsid w:val="00B43392"/>
    <w:rsid w:val="00B83423"/>
    <w:rsid w:val="00B97741"/>
    <w:rsid w:val="00BE048B"/>
    <w:rsid w:val="00C53AB3"/>
    <w:rsid w:val="00D00042"/>
    <w:rsid w:val="00E9584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03434D-FC02-4B3C-9E1E-FB3DCA50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99423">
      <w:bodyDiv w:val="1"/>
      <w:marLeft w:val="0"/>
      <w:marRight w:val="0"/>
      <w:marTop w:val="0"/>
      <w:marBottom w:val="0"/>
      <w:divBdr>
        <w:top w:val="none" w:sz="0" w:space="0" w:color="auto"/>
        <w:left w:val="none" w:sz="0" w:space="0" w:color="auto"/>
        <w:bottom w:val="none" w:sz="0" w:space="0" w:color="auto"/>
        <w:right w:val="none" w:sz="0" w:space="0" w:color="auto"/>
      </w:divBdr>
    </w:div>
    <w:div w:id="2106413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766</Words>
  <Characters>4218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4975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21</cp:revision>
  <cp:lastPrinted>2026-01-05T09:55:00Z</cp:lastPrinted>
  <dcterms:created xsi:type="dcterms:W3CDTF">2026-07-29T08:44:00Z</dcterms:created>
  <dcterms:modified xsi:type="dcterms:W3CDTF">2026-07-29T13:34:00Z</dcterms:modified>
  <dc:language>es-ES</dc:language>
</cp:coreProperties>
</file>