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120"/>
        <w:rPr/>
      </w:pPr>
      <w:r>
        <w:rPr>
          <w:rStyle w:val="Strong"/>
          <w:rFonts w:ascii="Arial Narrow" w:hAnsi="Arial Narrow"/>
          <w:b/>
          <w:bCs/>
          <w:sz w:val="40"/>
          <w:szCs w:val="40"/>
        </w:rPr>
        <w:t xml:space="preserve">La evolución de la economía municipal refuerza la confianza en la ciudad de proveedores, entidades financieras y administraciones </w:t>
      </w:r>
    </w:p>
    <w:p>
      <w:pPr>
        <w:pStyle w:val="Heading2"/>
        <w:spacing w:lineRule="auto" w:line="240" w:before="0" w:after="0"/>
        <w:rPr/>
      </w:pPr>
      <w:r>
        <w:rPr>
          <w:rStyle w:val="Strong"/>
          <w:rFonts w:ascii="Arial Narrow" w:hAnsi="Arial Narrow"/>
          <w:b w:val="false"/>
          <w:bCs/>
        </w:rPr>
        <w:t>El Gobierno municipal ha cancelado durante el actual mandato ocho préstamos, ha abonado 30 millones de deuda, ha bajado casi a la mitad las OPA y ha reducido el pago medio a proveedores en el Ayuntamiento a 34 días y en las empresas municipales a 42 días</w:t>
      </w:r>
    </w:p>
    <w:p>
      <w:pPr>
        <w:pStyle w:val="BodyText"/>
        <w:spacing w:lineRule="auto" w:line="240" w:before="0" w:after="0"/>
        <w:jc w:val="both"/>
        <w:rPr>
          <w:rStyle w:val="Strong"/>
          <w:rFonts w:ascii="Arial Narrow" w:hAnsi="Arial Narrow"/>
          <w:sz w:val="26"/>
          <w:szCs w:val="26"/>
        </w:rPr>
      </w:pPr>
      <w:r>
        <w:rPr>
          <w:rFonts w:ascii="Arial Narrow" w:hAnsi="Arial Narrow"/>
          <w:sz w:val="26"/>
          <w:szCs w:val="26"/>
        </w:rPr>
      </w:r>
    </w:p>
    <w:p>
      <w:pPr>
        <w:pStyle w:val="BodyText"/>
        <w:spacing w:lineRule="auto" w:line="240" w:before="0" w:after="0"/>
        <w:jc w:val="both"/>
        <w:rPr/>
      </w:pPr>
      <w:r>
        <w:rPr>
          <w:rStyle w:val="Strong"/>
          <w:rFonts w:ascii="Arial Narrow" w:hAnsi="Arial Narrow"/>
          <w:sz w:val="26"/>
          <w:szCs w:val="26"/>
        </w:rPr>
        <w:t>10 de agosto de 2026.</w:t>
      </w:r>
      <w:r>
        <w:rPr>
          <w:rStyle w:val="Strong"/>
          <w:rFonts w:ascii="Arial Narrow" w:hAnsi="Arial Narrow"/>
          <w:b w:val="false"/>
          <w:sz w:val="26"/>
          <w:szCs w:val="26"/>
        </w:rPr>
        <w:t xml:space="preserve"> El delegado de Economía, Hacienda y Financiación Pública, Francisco Delgado,</w:t>
      </w:r>
      <w:r>
        <w:rPr>
          <w:rFonts w:ascii="Arial Narrow" w:hAnsi="Arial Narrow"/>
          <w:sz w:val="26"/>
          <w:szCs w:val="26"/>
        </w:rPr>
        <w:t xml:space="preserve"> ha realizado una valoración positiva de la evolución de la economía municipal y de los avances alcanzados en la gestión de las cuentas municipales desde junio de 2023, aunque ha advertido de que todavía “queda mucho trabajo por delante para continuar generando oportunidades, mejorar los servicios públicos y avanzar en la normalización financiera del Ayuntamiento”. </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El responsable municipal del área económica ha reconocido que el Consistorio “continúa condicionado por una deuda estructural que ronda los 1.300 millones de euros” y que seguirá necesitando durante años los mecanismos de financiación y los fondos de ordenación habilitados por el Ministerio de Hacienda.</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No obstante, ha asegurado que “el Gobierno municipal está consiguiendo que esta situación no paralice el crecimiento ni la promoción de Jerez”, recordando que al comienzo del mandato se han cancelado ocho préstamos y se han abonado alrededor de 30 millones de euros de deuda al Ministerio de Hacienda. A esta cantidad se sumará un nuevo pago de 12 millones de euros previsto para octubre de 2026.</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Francisco Delgado ha destacado igualmente que, durante la actual legislatura, las liquidaciones presupuestarias han generado cerca de 77 millones de euros de remanente positivo, rompiendo una tendencia histórica negativa. Estos recursos permiten, dentro de las limitaciones establecidas por las reglas fiscales, atender deuda, reducir facturas pendientes, afrontar compromisos económicos y acometer actuaciones de mejora de los servicios públicos.</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Entre otros hitos alcanzados figura, además, el cumplimiento de los objetivos de estabilidad presupuestaria y regla de gasto en 2024. Ese ejercicio se cerró con un superávit de 217.000 euros y un remanente de tesorería positivo de 22,5 millones. El avance de la liquidación de 2025 apuntó también al cumplimiento de ambos objetivos por segundo año consecutivo, con un gasto consolidado situado unos 3,1 millones de euros por debajo del límite establecido.</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Por otro lado, el responsable municipal ha resaltado especialmente la evolución de las operaciones pendientes de aplicar al presupuesto, conocidas como OPA o “facturas en el cajón”. Su volumen se situaba en</w:t>
      </w:r>
      <w:r>
        <w:rPr>
          <w:rFonts w:ascii="Arial Narrow" w:hAnsi="Arial Narrow"/>
          <w:color w:val="242424"/>
          <w:sz w:val="26"/>
          <w:szCs w:val="26"/>
        </w:rPr>
        <w:t xml:space="preserve"> 53 millones de euros en 2022, con el anterior Gobierno Municipal socialista, pasando a 34 millones en 2025 y encontrándose </w:t>
      </w:r>
      <w:r>
        <w:rPr>
          <w:rFonts w:ascii="Arial Narrow" w:hAnsi="Arial Narrow"/>
          <w:sz w:val="26"/>
          <w:szCs w:val="26"/>
        </w:rPr>
        <w:t>actualmente en torno a los 29 millones, lo que supone una reducción cercana al 50 por ciento durante el mandato.</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También durante el actual mandato se ha produc</w:t>
      </w:r>
      <w:bookmarkStart w:id="0" w:name="_GoBack"/>
      <w:bookmarkEnd w:id="0"/>
      <w:r>
        <w:rPr>
          <w:rFonts w:ascii="Arial Narrow" w:hAnsi="Arial Narrow"/>
          <w:sz w:val="26"/>
          <w:szCs w:val="26"/>
        </w:rPr>
        <w:t xml:space="preserve">ido una mejora significativa del Periodo Medio de Pago a Proveedores, un indicador que se mantiene alejado de los niveles anteriores a 2023, y que, hoy en día, se ha reducido a 34 días en el Ayuntamiento y a 42 días en las empresas municipales. </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Asimismo, ha recordado que el Pleno municipal aprobó este pasado mes de 2026 la incorporación al nuevo mecanismo estatal de pago a proveedores. Esta operación permitirá atender facturas aceptadas por empresas y autónomos por un importe de 24,6 millones de euros, garantizando liquidez a quienes han prestado servicios al Ayuntamiento y contribuyendo a la progresiva normalización de las obligaciones municipales.</w:t>
      </w:r>
    </w:p>
    <w:p>
      <w:pPr>
        <w:pStyle w:val="BodyText"/>
        <w:spacing w:lineRule="auto" w:line="240" w:before="0" w:after="0"/>
        <w:jc w:val="both"/>
        <w:rPr>
          <w:rFonts w:ascii="Arial Narrow" w:hAnsi="Arial Narrow"/>
          <w:sz w:val="26"/>
          <w:szCs w:val="26"/>
        </w:rPr>
      </w:pPr>
      <w:r>
        <w:rPr>
          <w:rFonts w:ascii="Arial Narrow" w:hAnsi="Arial Narrow"/>
          <w:sz w:val="26"/>
          <w:szCs w:val="26"/>
        </w:rPr>
      </w:r>
    </w:p>
    <w:p>
      <w:pPr>
        <w:pStyle w:val="BodyText"/>
        <w:spacing w:lineRule="auto" w:line="240" w:before="0" w:after="0"/>
        <w:jc w:val="both"/>
        <w:rPr>
          <w:rFonts w:ascii="Arial Narrow" w:hAnsi="Arial Narrow"/>
          <w:sz w:val="26"/>
          <w:szCs w:val="26"/>
        </w:rPr>
      </w:pPr>
      <w:r>
        <w:rPr>
          <w:rFonts w:ascii="Arial Narrow" w:hAnsi="Arial Narrow"/>
          <w:sz w:val="26"/>
          <w:szCs w:val="26"/>
        </w:rPr>
        <w:t xml:space="preserve">En definitiva, para Francisco Delgado “la confianza de proveedores, entidades financieras y administraciones públicas es esencial para que el Ayuntamiento pueda continuar prestando servicios, realizando inversiones y promoviendo proyectos estratégicos para la ciudad”. </w:t>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Calibri">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Tahoma">
    <w:charset w:val="00"/>
    <w:family w:val="roman"/>
    <w:pitch w:val="variable"/>
  </w:font>
  <w:font w:name="Liberation Sans">
    <w:altName w:val="Arial"/>
    <w:charset w:val="00"/>
    <w:family w:val="roman"/>
    <w:pitch w:val="variable"/>
  </w:font>
  <w:font w:name="Century Gothic">
    <w:charset w:val="00"/>
    <w:family w:val="roman"/>
    <w:pitch w:val="variable"/>
  </w:font>
  <w:font w:name="Liberation Mono">
    <w:altName w:val="Courier New"/>
    <w:charset w:val="00"/>
    <w:family w:val="roman"/>
    <w:pitch w:val="variable"/>
  </w:font>
  <w:font w:name="Helvetica">
    <w:altName w:val="Arial"/>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1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3">
    <w:name w:val="Heading 3"/>
    <w:basedOn w:val="Normal"/>
    <w:next w:val="Normal"/>
    <w:qFormat/>
    <w:pPr>
      <w:keepNext w:val="true"/>
      <w:keepLines/>
      <w:spacing w:before="40" w:after="0"/>
      <w:outlineLvl w:val="2"/>
    </w:pPr>
    <w:rPr>
      <w:rFonts w:ascii="Arial" w:hAnsi="Arial" w:eastAsia="DejaVu Sans" w:cs="DejaVu Sans"/>
      <w:color w:themeColor="accent1" w:themeShade="7f" w:val="0B5101"/>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character" w:styleId="Ninguno" w:customStyle="1">
    <w:name w:val="Ninguno"/>
    <w:qFormat/>
    <w:rPr>
      <w:lang w:val="es-ES_tradnl"/>
    </w:rPr>
  </w:style>
  <w:style w:type="character" w:styleId="Citation-108" w:customStyle="1">
    <w:name w:val="citation-108"/>
    <w:basedOn w:val="DefaultParagraphFont"/>
    <w:qFormat/>
    <w:rPr/>
  </w:style>
  <w:style w:type="character" w:styleId="Button-label" w:customStyle="1">
    <w:name w:val="button-label"/>
    <w:basedOn w:val="DefaultParagraphFont"/>
    <w:qFormat/>
    <w:rPr/>
  </w:style>
  <w:style w:type="character" w:styleId="Citation-107" w:customStyle="1">
    <w:name w:val="citation-107"/>
    <w:basedOn w:val="DefaultParagraphFont"/>
    <w:qFormat/>
    <w:rPr/>
  </w:style>
  <w:style w:type="character" w:styleId="Citation-106" w:customStyle="1">
    <w:name w:val="citation-106"/>
    <w:basedOn w:val="DefaultParagraphFont"/>
    <w:qFormat/>
    <w:rPr/>
  </w:style>
  <w:style w:type="character" w:styleId="Citation-105" w:customStyle="1">
    <w:name w:val="citation-105"/>
    <w:basedOn w:val="DefaultParagraphFont"/>
    <w:qFormat/>
    <w:rPr/>
  </w:style>
  <w:style w:type="character" w:styleId="Citation-104" w:customStyle="1">
    <w:name w:val="citation-104"/>
    <w:basedOn w:val="DefaultParagraphFont"/>
    <w:qFormat/>
    <w:rPr/>
  </w:style>
  <w:style w:type="character" w:styleId="Citation-103" w:customStyle="1">
    <w:name w:val="citation-103"/>
    <w:basedOn w:val="DefaultParagraphFont"/>
    <w:qFormat/>
    <w:rPr/>
  </w:style>
  <w:style w:type="character" w:styleId="Citation-102" w:customStyle="1">
    <w:name w:val="citation-102"/>
    <w:basedOn w:val="DefaultParagraphFont"/>
    <w:qFormat/>
    <w:rPr/>
  </w:style>
  <w:style w:type="character" w:styleId="Citation-101" w:customStyle="1">
    <w:name w:val="citation-101"/>
    <w:basedOn w:val="DefaultParagraphFont"/>
    <w:qFormat/>
    <w:rPr/>
  </w:style>
  <w:style w:type="character" w:styleId="Citation-100" w:customStyle="1">
    <w:name w:val="citation-100"/>
    <w:basedOn w:val="DefaultParagraphFont"/>
    <w:qFormat/>
    <w:rPr/>
  </w:style>
  <w:style w:type="character" w:styleId="Citation-99" w:customStyle="1">
    <w:name w:val="citation-99"/>
    <w:basedOn w:val="DefaultParagraphFont"/>
    <w:qFormat/>
    <w:rPr/>
  </w:style>
  <w:style w:type="character" w:styleId="Citation-98" w:customStyle="1">
    <w:name w:val="citation-98"/>
    <w:basedOn w:val="DefaultParagraphFont"/>
    <w:qFormat/>
    <w:rPr/>
  </w:style>
  <w:style w:type="character" w:styleId="Citation-97" w:customStyle="1">
    <w:name w:val="citation-97"/>
    <w:basedOn w:val="DefaultParagraphFont"/>
    <w:qFormat/>
    <w:rPr/>
  </w:style>
  <w:style w:type="character" w:styleId="Citation-96" w:customStyle="1">
    <w:name w:val="citation-96"/>
    <w:basedOn w:val="DefaultParagraphFont"/>
    <w:qFormat/>
    <w:rPr/>
  </w:style>
  <w:style w:type="character" w:styleId="Citation-95" w:customStyle="1">
    <w:name w:val="citation-95"/>
    <w:basedOn w:val="DefaultParagraphFont"/>
    <w:qFormat/>
    <w:rPr/>
  </w:style>
  <w:style w:type="character" w:styleId="Citation-94" w:customStyle="1">
    <w:name w:val="citation-94"/>
    <w:basedOn w:val="DefaultParagraphFont"/>
    <w:qFormat/>
    <w:rPr/>
  </w:style>
  <w:style w:type="character" w:styleId="Citation-93" w:customStyle="1">
    <w:name w:val="citation-93"/>
    <w:basedOn w:val="DefaultParagraphFont"/>
    <w:qFormat/>
    <w:rPr/>
  </w:style>
  <w:style w:type="character" w:styleId="Citation-92" w:customStyle="1">
    <w:name w:val="citation-92"/>
    <w:basedOn w:val="DefaultParagraphFont"/>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Fuentedeprrafopredeter9" w:customStyle="1">
    <w:name w:val="Fuente de párrafo predeter.9"/>
    <w:qFormat/>
    <w:rPr/>
  </w:style>
  <w:style w:type="character" w:styleId="Fuentedeprrafopredeter8" w:customStyle="1">
    <w:name w:val="Fuente de párrafo predeter.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SangradetextonormalCar" w:customStyle="1">
    <w:name w:val="Sangría de texto normal Car"/>
    <w:qFormat/>
    <w:rPr>
      <w:rFonts w:ascii="Arial" w:hAnsi="Arial" w:eastAsia="Times New Roman" w:cs="Arial"/>
      <w:b/>
      <w:bCs/>
      <w:sz w:val="40"/>
      <w:szCs w:val="20"/>
      <w:lang w:val="en-US"/>
    </w:rPr>
  </w:style>
  <w:style w:type="character" w:styleId="Rojo" w:customStyle="1">
    <w:name w:val="rojo"/>
    <w:qFormat/>
    <w:rPr>
      <w:rFonts w:ascii="Times New Roman" w:hAnsi="Times New Roman" w:eastAsia="Times New Roman" w:cs="Times New Roman"/>
      <w:color w:val="000000"/>
      <w:sz w:val="24"/>
      <w:szCs w:val="24"/>
    </w:rPr>
  </w:style>
  <w:style w:type="character" w:styleId="Textoennegrita1" w:customStyle="1">
    <w:name w:val="Texto en negrita1"/>
    <w:qFormat/>
    <w:rPr>
      <w:b/>
      <w:bCs/>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1" w:customStyle="1">
    <w:name w:val="Mención sin resolver1"/>
    <w:qFormat/>
    <w:rPr>
      <w:color w:val="605E5C"/>
      <w:shd w:fill="E1DFDD" w:val="clear"/>
    </w:rPr>
  </w:style>
  <w:style w:type="character" w:styleId="S7" w:customStyle="1">
    <w:name w:val="s7"/>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MquinadeescribirHTML1" w:customStyle="1">
    <w:name w:val="Máquina de escribir HTML1"/>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qFormat/>
    <w:rPr>
      <w:rFonts w:ascii="Times New Roman" w:hAnsi="Times New Roman" w:eastAsia="Times New Roman" w:cs="Times New Roman"/>
      <w:color w:val="000000"/>
      <w:sz w:val="24"/>
      <w:szCs w:val="24"/>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character" w:styleId="Fuentedeprrafopredeter5" w:customStyle="1">
    <w:name w:val="Fuente de párrafo predeter.5"/>
    <w:qFormat/>
    <w:rPr/>
  </w:style>
  <w:style w:type="character" w:styleId="Muydestacado" w:customStyle="1">
    <w:name w:val="Muy destacado"/>
    <w:qFormat/>
    <w:rPr>
      <w:b/>
      <w:bCs/>
    </w:rPr>
  </w:style>
  <w:style w:type="character" w:styleId="CITE" w:customStyle="1">
    <w:name w:val="CITE"/>
    <w:qFormat/>
    <w:rPr>
      <w:i/>
    </w:rPr>
  </w:style>
  <w:style w:type="character" w:styleId="CODE" w:customStyle="1">
    <w:name w:val="CODE"/>
    <w:qFormat/>
    <w:rPr>
      <w:rFonts w:ascii="Courier New" w:hAnsi="Courier New" w:cs="Courier New"/>
      <w:sz w:val="20"/>
    </w:rPr>
  </w:style>
  <w:style w:type="character" w:styleId="Keyboard" w:customStyle="1">
    <w:name w:val="Keyboard"/>
    <w:qFormat/>
    <w:rPr>
      <w:rFonts w:ascii="Courier New" w:hAnsi="Courier New" w:cs="Courier New"/>
      <w:b/>
      <w:sz w:val="20"/>
    </w:rPr>
  </w:style>
  <w:style w:type="character" w:styleId="Sample" w:customStyle="1">
    <w:name w:val="Sample"/>
    <w:qFormat/>
    <w:rPr>
      <w:rFonts w:ascii="Courier New" w:hAnsi="Courier New" w:cs="Courier New"/>
    </w:rPr>
  </w:style>
  <w:style w:type="character" w:styleId="Typewriter" w:customStyle="1">
    <w:name w:val="Typewriter"/>
    <w:qFormat/>
    <w:rPr>
      <w:rFonts w:ascii="Courier New" w:hAnsi="Courier New" w:cs="Courier New"/>
      <w:sz w:val="20"/>
    </w:rPr>
  </w:style>
  <w:style w:type="character" w:styleId="HTMLMarkup" w:customStyle="1">
    <w:name w:val="HTML Markup"/>
    <w:qFormat/>
    <w:rPr>
      <w:vanish/>
      <w:color w:val="FF0000"/>
    </w:rPr>
  </w:style>
  <w:style w:type="character" w:styleId="Comment" w:customStyle="1">
    <w:name w:val="Comment"/>
    <w:qFormat/>
    <w:rPr>
      <w:vanish/>
    </w:rPr>
  </w:style>
  <w:style w:type="character" w:styleId="TextodegloboCar1" w:customStyle="1">
    <w:name w:val="Texto de globo Car1"/>
    <w:qFormat/>
    <w:rPr>
      <w:rFonts w:ascii="Segoe UI" w:hAnsi="Segoe UI" w:cs="Segoe UI"/>
      <w:kern w:val="2"/>
      <w:sz w:val="18"/>
      <w:szCs w:val="18"/>
      <w:lang w:eastAsia="zh-CN"/>
    </w:rPr>
  </w:style>
  <w:style w:type="character" w:styleId="TextodegloboCar2" w:customStyle="1">
    <w:name w:val="Texto de globo Car2"/>
    <w:qFormat/>
    <w:rPr>
      <w:rFonts w:ascii="Segoe UI" w:hAnsi="Segoe UI" w:eastAsia="Times New Roman" w:cs="Segoe UI"/>
      <w:color w:val="000000"/>
      <w:sz w:val="18"/>
      <w:szCs w:val="18"/>
    </w:rPr>
  </w:style>
  <w:style w:type="character" w:styleId="TextoindependienteCar" w:customStyle="1">
    <w:name w:val="Texto independiente Car"/>
    <w:qFormat/>
    <w:rPr>
      <w:rFonts w:ascii="Tahoma" w:hAnsi="Tahoma" w:eastAsia="Times New Roman" w:cs="Tahoma"/>
      <w:color w:val="000000"/>
      <w:szCs w:val="24"/>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11" w:customStyle="1">
    <w:name w:val="caption1111"/>
    <w:basedOn w:val="Normal"/>
    <w:qFormat/>
    <w:pPr>
      <w:suppressLineNumbers/>
      <w:spacing w:before="120" w:after="120"/>
    </w:pPr>
    <w:rPr>
      <w:rFonts w:cs="Arial"/>
      <w:i/>
      <w:iCs/>
    </w:rPr>
  </w:style>
  <w:style w:type="paragraph" w:styleId="Caption11111" w:customStyle="1">
    <w:name w:val="caption11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eastAsia="zh-CN" w:bidi="hi-IN" w:val="es-ES"/>
    </w:rPr>
  </w:style>
  <w:style w:type="paragraph" w:styleId="Caption111111" w:customStyle="1">
    <w:name w:val="caption11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paragraph" w:styleId="Standard1" w:customStyle="1">
    <w:name w:val="Standard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en-US" w:eastAsia="zh-CN" w:bidi="ar-SA"/>
    </w:rPr>
  </w:style>
  <w:style w:type="paragraph" w:styleId="Caption2" w:customStyle="1">
    <w:name w:val="caption2"/>
    <w:basedOn w:val="Normal"/>
    <w:qFormat/>
    <w:pPr>
      <w:suppressLineNumbers/>
      <w:spacing w:before="120" w:after="120"/>
    </w:pPr>
    <w:rPr>
      <w:rFonts w:cs="Arial"/>
      <w:i/>
      <w:iCs/>
    </w:rPr>
  </w:style>
  <w:style w:type="paragraph" w:styleId="Descripcin1" w:customStyle="1">
    <w:name w:val="Descripción1"/>
    <w:basedOn w:val="Normal"/>
    <w:qFormat/>
    <w:pPr>
      <w:spacing w:before="120" w:after="120"/>
    </w:pPr>
    <w:rPr>
      <w:rFonts w:cs="Mangal"/>
      <w:i/>
      <w:iCs/>
    </w:rPr>
  </w:style>
  <w:style w:type="paragraph" w:styleId="Puesto1" w:customStyle="1">
    <w:name w:val="Puesto1"/>
    <w:basedOn w:val="Normal"/>
    <w:qFormat/>
    <w:pPr>
      <w:keepNext w:val="true"/>
      <w:spacing w:before="240" w:after="120"/>
    </w:pPr>
    <w:rPr>
      <w:rFonts w:ascii="Liberation Sans" w:hAnsi="Liberation Sans" w:eastAsia="Microsoft YaHei" w:cs="Arial"/>
      <w:sz w:val="28"/>
      <w:szCs w:val="28"/>
    </w:rPr>
  </w:style>
  <w:style w:type="paragraph" w:styleId="Ttulo9" w:customStyle="1">
    <w:name w:val="Título9"/>
    <w:basedOn w:val="Normal"/>
    <w:qFormat/>
    <w:pPr>
      <w:keepNext w:val="true"/>
      <w:spacing w:before="240" w:after="120"/>
    </w:pPr>
    <w:rPr>
      <w:rFonts w:ascii="Liberation Sans" w:hAnsi="Liberation Sans" w:eastAsia="Microsoft YaHei" w:cs="Arial"/>
      <w:sz w:val="28"/>
      <w:szCs w:val="28"/>
    </w:rPr>
  </w:style>
  <w:style w:type="paragraph" w:styleId="Encabezado1" w:customStyle="1">
    <w:name w:val="Encabezado1"/>
    <w:basedOn w:val="Normal"/>
    <w:qFormat/>
    <w:pPr>
      <w:keepNext w:val="true"/>
      <w:spacing w:before="240" w:after="120"/>
    </w:pPr>
    <w:rPr>
      <w:rFonts w:ascii="Liberation Sans" w:hAnsi="Liberation Sans" w:eastAsia="Microsoft YaHei" w:cs="Mangal"/>
      <w:sz w:val="28"/>
      <w:szCs w:val="28"/>
    </w:rPr>
  </w:style>
  <w:style w:type="paragraph" w:styleId="Ttulo8" w:customStyle="1">
    <w:name w:val="Título8"/>
    <w:basedOn w:val="Normal"/>
    <w:qFormat/>
    <w:pPr>
      <w:keepNext w:val="true"/>
      <w:spacing w:before="240" w:after="120"/>
    </w:pPr>
    <w:rPr>
      <w:rFonts w:ascii="Liberation Sans" w:hAnsi="Liberation Sans" w:eastAsia="Microsoft YaHei" w:cs="Arial"/>
      <w:sz w:val="28"/>
      <w:szCs w:val="28"/>
    </w:rPr>
  </w:style>
  <w:style w:type="paragraph" w:styleId="Epgrafe3" w:customStyle="1">
    <w:name w:val="Epígrafe3"/>
    <w:basedOn w:val="Normal"/>
    <w:qFormat/>
    <w:pPr>
      <w:spacing w:before="120" w:after="120"/>
    </w:pPr>
    <w:rPr>
      <w:rFonts w:cs="Arial"/>
      <w:i/>
      <w:iCs/>
    </w:rPr>
  </w:style>
  <w:style w:type="paragraph" w:styleId="Ttulo7" w:customStyle="1">
    <w:name w:val="Título7"/>
    <w:basedOn w:val="Normal"/>
    <w:qFormat/>
    <w:pPr>
      <w:keepNext w:val="true"/>
      <w:spacing w:before="240" w:after="120"/>
    </w:pPr>
    <w:rPr>
      <w:rFonts w:ascii="Liberation Sans" w:hAnsi="Liberation Sans" w:eastAsia="Microsoft YaHei" w:cs="Arial"/>
      <w:sz w:val="28"/>
      <w:szCs w:val="28"/>
    </w:rPr>
  </w:style>
  <w:style w:type="paragraph" w:styleId="Epgrafe2" w:customStyle="1">
    <w:name w:val="Epígrafe2"/>
    <w:basedOn w:val="Normal"/>
    <w:qFormat/>
    <w:pPr>
      <w:spacing w:before="120" w:after="120"/>
    </w:pPr>
    <w:rPr>
      <w:rFonts w:cs="Arial"/>
      <w:i/>
      <w:iCs/>
    </w:rPr>
  </w:style>
  <w:style w:type="paragraph" w:styleId="Ttulo6" w:customStyle="1">
    <w:name w:val="Título6"/>
    <w:basedOn w:val="Normal"/>
    <w:qFormat/>
    <w:pPr>
      <w:keepNext w:val="true"/>
      <w:spacing w:before="240" w:after="120"/>
    </w:pPr>
    <w:rPr>
      <w:rFonts w:ascii="Liberation Sans" w:hAnsi="Liberation Sans" w:eastAsia="Microsoft YaHei" w:cs="Arial"/>
      <w:sz w:val="28"/>
      <w:szCs w:val="28"/>
    </w:rPr>
  </w:style>
  <w:style w:type="paragraph" w:styleId="Ttulo4" w:customStyle="1">
    <w:name w:val="Título4"/>
    <w:basedOn w:val="Normal"/>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pacing w:before="120" w:after="120"/>
    </w:pPr>
    <w:rPr>
      <w:rFonts w:cs="Arial"/>
      <w:i/>
      <w:iCs/>
    </w:rPr>
  </w:style>
  <w:style w:type="paragraph" w:styleId="Ttulo3" w:customStyle="1">
    <w:name w:val="Título3"/>
    <w:basedOn w:val="Normal"/>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pacing w:before="120" w:after="120"/>
    </w:pPr>
    <w:rPr>
      <w:rFonts w:cs="Arial"/>
      <w:i/>
      <w:iCs/>
    </w:rPr>
  </w:style>
  <w:style w:type="paragraph" w:styleId="Ttulo2" w:customStyle="1">
    <w:name w:val="Título2"/>
    <w:basedOn w:val="Normal"/>
    <w:qFormat/>
    <w:pPr>
      <w:keepNext w:val="true"/>
      <w:spacing w:before="240" w:after="120"/>
    </w:pPr>
    <w:rPr>
      <w:rFonts w:ascii="Liberation Sans" w:hAnsi="Liberation Sans" w:eastAsia="Microsoft YaHei" w:cs="Arial"/>
      <w:sz w:val="28"/>
      <w:szCs w:val="28"/>
    </w:rPr>
  </w:style>
  <w:style w:type="paragraph" w:styleId="Epgrafe1" w:customStyle="1">
    <w:name w:val="Epígrafe1"/>
    <w:basedOn w:val="Normal"/>
    <w:qFormat/>
    <w:pPr>
      <w:spacing w:before="120" w:after="120"/>
    </w:pPr>
    <w:rPr>
      <w:rFonts w:cs="Arial"/>
      <w:i/>
      <w:iCs/>
    </w:rPr>
  </w:style>
  <w:style w:type="paragraph" w:styleId="Prrafodelista1" w:customStyle="1">
    <w:name w:val="Párrafo de lista1"/>
    <w:basedOn w:val="Normal"/>
    <w:qFormat/>
    <w:pPr>
      <w:spacing w:before="0" w:after="200"/>
      <w:ind w:left="720"/>
      <w:contextualSpacing/>
    </w:pPr>
    <w:rPr>
      <w:rFonts w:ascii="Calibri" w:hAnsi="Calibri" w:eastAsia="Calibri" w:cs="Calibri"/>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n-US" w:eastAsia="zh-CN" w:bidi="ar-SA"/>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Mce" w:customStyle="1">
    <w:name w:val="mce"/>
    <w:basedOn w:val="Normal"/>
    <w:qFormat/>
    <w:pPr>
      <w:suppressAutoHyphens w:val="false"/>
      <w:spacing w:before="280" w:after="280"/>
    </w:pPr>
    <w:rPr>
      <w:rFonts w:ascii="Times New Roman" w:hAnsi="Times New Roman" w:cs="Times New Roman"/>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08"/>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eastAsia="zh-CN" w:bidi="hi-IN" w:val="es-ES"/>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eastAsia="zh-CN" w:bidi="hi-IN" w:val="es-ES"/>
    </w:rPr>
  </w:style>
  <w:style w:type="paragraph" w:styleId="Sinespaciado1" w:customStyle="1">
    <w:name w:val="Sin espaciado1"/>
    <w:qFormat/>
    <w:pPr>
      <w:widowControl/>
      <w:suppressAutoHyphens w:val="true"/>
      <w:bidi w:val="0"/>
      <w:spacing w:before="0" w:after="0"/>
      <w:jc w:val="left"/>
    </w:pPr>
    <w:rPr>
      <w:rFonts w:ascii="Calibri" w:hAnsi="Calibri" w:eastAsia="Calibri" w:cs="Calibri"/>
      <w:color w:val="auto"/>
      <w:kern w:val="2"/>
      <w:sz w:val="22"/>
      <w:szCs w:val="22"/>
      <w:lang w:eastAsia="zh-CN" w:val="es-ES" w:bidi="ar-SA"/>
    </w:rPr>
  </w:style>
  <w:style w:type="paragraph" w:styleId="P1" w:customStyle="1">
    <w:name w:val="p1"/>
    <w:basedOn w:val="Normal"/>
    <w:qFormat/>
    <w:pPr>
      <w:spacing w:lineRule="atLeast" w:line="182"/>
    </w:pPr>
    <w:rPr>
      <w:rFonts w:ascii="Arial" w:hAnsi="Arial" w:cs="Arial"/>
      <w:sz w:val="27"/>
      <w:szCs w:val="27"/>
    </w:rPr>
  </w:style>
  <w:style w:type="paragraph" w:styleId="Cita1" w:customStyle="1">
    <w:name w:val="Cita1"/>
    <w:basedOn w:val="Normal"/>
    <w:qFormat/>
    <w:pPr>
      <w:spacing w:before="0" w:after="283"/>
      <w:ind w:left="567" w:right="567"/>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Sangra2detindependiente1" w:customStyle="1">
    <w:name w:val="Sangría 2 de t. independiente1"/>
    <w:basedOn w:val="Normal"/>
    <w:qFormat/>
    <w:pPr>
      <w:ind w:left="360"/>
      <w:jc w:val="both"/>
    </w:pPr>
    <w:rPr>
      <w:bCs/>
      <w:sz w:val="28"/>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qFormat/>
    <w:pPr>
      <w:widowControl/>
      <w:suppressAutoHyphens w:val="true"/>
      <w:bidi w:val="0"/>
      <w:spacing w:before="0" w:after="0"/>
      <w:jc w:val="left"/>
    </w:pPr>
    <w:rPr>
      <w:rFonts w:ascii="Arial" w:hAnsi="Arial" w:eastAsia="Arial" w:cs="DejaVu Sans" w:asciiTheme="minorHAnsi" w:cstheme="minorBidi" w:eastAsiaTheme="minorHAnsi" w:hAnsiTheme="minorHAnsi"/>
      <w:b/>
      <w:bCs/>
      <w:color w:val="auto"/>
      <w:kern w:val="0"/>
      <w:sz w:val="20"/>
      <w:szCs w:val="24"/>
      <w:lang w:val="es-ES" w:eastAsia="en-US" w:bidi="ar-SA"/>
    </w:rPr>
  </w:style>
  <w:style w:type="paragraph" w:styleId="Descripcin3" w:customStyle="1">
    <w:name w:val="Descripción3"/>
    <w:basedOn w:val="Normal"/>
    <w:qFormat/>
    <w:pPr>
      <w:spacing w:before="120" w:after="120"/>
    </w:pPr>
    <w:rPr>
      <w:rFonts w:cs="Arial"/>
      <w:i/>
      <w:iCs/>
    </w:rPr>
  </w:style>
  <w:style w:type="paragraph" w:styleId="Ttulo5" w:customStyle="1">
    <w:name w:val="Título5"/>
    <w:basedOn w:val="Normal"/>
    <w:qFormat/>
    <w:pPr>
      <w:keepNext w:val="true"/>
      <w:spacing w:before="240" w:after="120"/>
    </w:pPr>
    <w:rPr>
      <w:rFonts w:ascii="Liberation Sans" w:hAnsi="Liberation Sans" w:eastAsia="Microsoft YaHei" w:cs="Arial"/>
      <w:sz w:val="28"/>
      <w:szCs w:val="28"/>
    </w:rPr>
  </w:style>
  <w:style w:type="paragraph" w:styleId="DefinitionTerm" w:customStyle="1">
    <w:name w:val="Definition Term"/>
    <w:basedOn w:val="Normal"/>
    <w:qFormat/>
    <w:pPr/>
    <w:rPr/>
  </w:style>
  <w:style w:type="paragraph" w:styleId="DefinitionList" w:customStyle="1">
    <w:name w:val="Definition List"/>
    <w:basedOn w:val="Normal"/>
    <w:qFormat/>
    <w:pPr>
      <w:ind w:left="360"/>
    </w:pPr>
    <w:rPr/>
  </w:style>
  <w:style w:type="paragraph" w:styleId="H1" w:customStyle="1">
    <w:name w:val="H1"/>
    <w:basedOn w:val="Normal"/>
    <w:qFormat/>
    <w:pPr>
      <w:keepNext w:val="true"/>
      <w:spacing w:before="100" w:after="100"/>
    </w:pPr>
    <w:rPr>
      <w:b/>
      <w:sz w:val="48"/>
    </w:rPr>
  </w:style>
  <w:style w:type="paragraph" w:styleId="H2" w:customStyle="1">
    <w:name w:val="H2"/>
    <w:basedOn w:val="Normal"/>
    <w:qFormat/>
    <w:pPr>
      <w:keepNext w:val="true"/>
      <w:spacing w:before="100" w:after="100"/>
    </w:pPr>
    <w:rPr>
      <w:b/>
      <w:sz w:val="36"/>
    </w:rPr>
  </w:style>
  <w:style w:type="paragraph" w:styleId="H3" w:customStyle="1">
    <w:name w:val="H3"/>
    <w:basedOn w:val="Normal"/>
    <w:qFormat/>
    <w:pPr>
      <w:keepNext w:val="true"/>
      <w:spacing w:before="100" w:after="100"/>
    </w:pPr>
    <w:rPr>
      <w:b/>
      <w:sz w:val="28"/>
    </w:rPr>
  </w:style>
  <w:style w:type="paragraph" w:styleId="H4" w:customStyle="1">
    <w:name w:val="H4"/>
    <w:basedOn w:val="Normal"/>
    <w:qFormat/>
    <w:pPr>
      <w:keepNext w:val="true"/>
      <w:spacing w:before="100" w:after="100"/>
    </w:pPr>
    <w:rPr>
      <w:b/>
    </w:rPr>
  </w:style>
  <w:style w:type="paragraph" w:styleId="H5" w:customStyle="1">
    <w:name w:val="H5"/>
    <w:basedOn w:val="Normal"/>
    <w:qFormat/>
    <w:pPr>
      <w:keepNext w:val="true"/>
      <w:spacing w:before="100" w:after="100"/>
    </w:pPr>
    <w:rPr>
      <w:b/>
      <w:sz w:val="20"/>
    </w:rPr>
  </w:style>
  <w:style w:type="paragraph" w:styleId="H6" w:customStyle="1">
    <w:name w:val="H6"/>
    <w:basedOn w:val="Normal"/>
    <w:qFormat/>
    <w:pPr>
      <w:keepNext w:val="true"/>
      <w:spacing w:before="100" w:after="100"/>
    </w:pPr>
    <w:rPr>
      <w:b/>
      <w:sz w:val="16"/>
    </w:rPr>
  </w:style>
  <w:style w:type="paragraph" w:styleId="Address" w:customStyle="1">
    <w:name w:val="Address"/>
    <w:basedOn w:val="Normal"/>
    <w:qFormat/>
    <w:pPr/>
    <w:rPr>
      <w:i/>
    </w:rPr>
  </w:style>
  <w:style w:type="paragraph" w:styleId="Blockquote" w:customStyle="1">
    <w:name w:val="Blockquote"/>
    <w:basedOn w:val="Normal"/>
    <w:qFormat/>
    <w:pPr>
      <w:spacing w:before="100" w:after="100"/>
      <w:ind w:left="360" w:right="360"/>
    </w:pPr>
    <w:rPr/>
  </w:style>
  <w:style w:type="paragraph" w:styleId="Preformatted" w:customStyle="1">
    <w:name w:val="Preformatted"/>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rPr>
  </w:style>
  <w:style w:type="paragraph" w:styleId="Z-BottomofForm" w:customStyle="1">
    <w:name w:val="z-Bottom of Form"/>
    <w:qFormat/>
    <w:pPr>
      <w:widowControl/>
      <w:pBdr>
        <w:top w:val="double" w:sz="2" w:space="0" w:color="000000"/>
      </w:pBdr>
      <w:suppressAutoHyphens w:val="true"/>
      <w:bidi w:val="0"/>
      <w:spacing w:before="0" w:after="0"/>
      <w:jc w:val="center"/>
    </w:pPr>
    <w:rPr>
      <w:rFonts w:cs="Courier New" w:ascii="Arial" w:hAnsi="Arial" w:eastAsia="Arial" w:asciiTheme="minorHAnsi" w:eastAsiaTheme="minorHAnsi" w:hAnsiTheme="minorHAnsi"/>
      <w:vanish/>
      <w:color w:val="auto"/>
      <w:kern w:val="0"/>
      <w:sz w:val="16"/>
      <w:szCs w:val="24"/>
      <w:lang w:eastAsia="es-ES" w:val="es-ES" w:bidi="ar-SA"/>
    </w:rPr>
  </w:style>
  <w:style w:type="paragraph" w:styleId="Z-TopofForm" w:customStyle="1">
    <w:name w:val="z-Top of Form"/>
    <w:qFormat/>
    <w:pPr>
      <w:widowControl/>
      <w:pBdr>
        <w:bottom w:val="double" w:sz="2" w:space="0" w:color="000000"/>
      </w:pBdr>
      <w:suppressAutoHyphens w:val="true"/>
      <w:bidi w:val="0"/>
      <w:spacing w:before="0" w:after="0"/>
      <w:jc w:val="center"/>
    </w:pPr>
    <w:rPr>
      <w:rFonts w:cs="Courier New" w:ascii="Arial" w:hAnsi="Arial" w:eastAsia="Arial" w:asciiTheme="minorHAnsi" w:eastAsiaTheme="minorHAnsi" w:hAnsiTheme="minorHAnsi"/>
      <w:vanish/>
      <w:color w:val="auto"/>
      <w:kern w:val="0"/>
      <w:sz w:val="16"/>
      <w:szCs w:val="24"/>
      <w:lang w:eastAsia="es-ES" w:val="es-ES" w:bidi="ar-SA"/>
    </w:rPr>
  </w:style>
  <w:style w:type="paragraph" w:styleId="Tablanormal1" w:customStyle="1">
    <w:name w:val="Tabla normal1"/>
    <w:qFormat/>
    <w:pPr>
      <w:widowControl/>
      <w:suppressAutoHyphens w:val="true"/>
      <w:bidi w:val="0"/>
      <w:spacing w:before="0" w:after="0"/>
      <w:jc w:val="left"/>
    </w:pPr>
    <w:rPr>
      <w:rFonts w:ascii="Times New Roman" w:hAnsi="Times New Roman" w:eastAsia="Tahoma" w:cs="Times New Roman"/>
      <w:color w:val="auto"/>
      <w:kern w:val="0"/>
      <w:sz w:val="20"/>
      <w:szCs w:val="20"/>
      <w:lang w:eastAsia="es-ES" w:val="es-ES" w:bidi="ar-SA"/>
    </w:rPr>
  </w:style>
  <w:style w:type="paragraph" w:styleId="Prrafodelista2" w:customStyle="1">
    <w:name w:val="Párrafo de lista2"/>
    <w:basedOn w:val="Normal"/>
    <w:qFormat/>
    <w:pPr>
      <w:suppressAutoHyphens w:val="false"/>
      <w:spacing w:lineRule="auto" w:line="252" w:before="0" w:after="160"/>
      <w:ind w:left="720"/>
      <w:contextualSpacing/>
    </w:pPr>
    <w:rPr>
      <w:rFonts w:ascii="Calibri" w:hAnsi="Calibri" w:eastAsia="Calibri" w:cs="font1764"/>
      <w:sz w:val="22"/>
      <w:szCs w:val="22"/>
    </w:rPr>
  </w:style>
  <w:style w:type="paragraph" w:styleId="Textodeglobo2" w:customStyle="1">
    <w:name w:val="Texto de globo2"/>
    <w:basedOn w:val="Normal"/>
    <w:qFormat/>
    <w:pPr/>
    <w:rPr>
      <w:rFonts w:ascii="Segoe UI" w:hAnsi="Segoe UI" w:cs="Segoe UI"/>
      <w:sz w:val="18"/>
      <w:szCs w:val="18"/>
    </w:rPr>
  </w:style>
  <w:style w:type="paragraph" w:styleId="Tablanormal2" w:customStyle="1">
    <w:name w:val="Tabla normal2"/>
    <w:qFormat/>
    <w:pPr>
      <w:widowControl/>
      <w:suppressAutoHyphens w:val="true"/>
      <w:bidi w:val="0"/>
      <w:spacing w:before="0" w:after="0"/>
      <w:jc w:val="left"/>
    </w:pPr>
    <w:rPr>
      <w:rFonts w:ascii="Liberation Serif" w:hAnsi="Liberation Serif" w:eastAsia="NSimSun" w:cs="Arial"/>
      <w:color w:val="auto"/>
      <w:kern w:val="0"/>
      <w:sz w:val="20"/>
      <w:szCs w:val="20"/>
      <w:lang w:eastAsia="es-ES" w:val="es-ES" w:bidi="ar-SA"/>
    </w:rPr>
  </w:style>
  <w:style w:type="paragraph" w:styleId="Tablanormal3" w:customStyle="1">
    <w:name w:val="Tabla normal3"/>
    <w:qFormat/>
    <w:pPr>
      <w:widowControl/>
      <w:suppressAutoHyphens w:val="true"/>
      <w:bidi w:val="0"/>
      <w:spacing w:before="0" w:after="0"/>
      <w:jc w:val="left"/>
    </w:pPr>
    <w:rPr>
      <w:rFonts w:ascii="Times New Roman" w:hAnsi="Times New Roman" w:eastAsia="Times New Roman" w:cs="Times New Roman"/>
      <w:color w:val="auto"/>
      <w:kern w:val="0"/>
      <w:sz w:val="20"/>
      <w:szCs w:val="20"/>
      <w:lang w:eastAsia="es-ES" w:val="es-ES" w:bidi="ar-SA"/>
    </w:rPr>
  </w:style>
  <w:style w:type="paragraph" w:styleId="BalloonText">
    <w:name w:val="Balloon Text"/>
    <w:basedOn w:val="Normal"/>
    <w:qFormat/>
    <w:pPr/>
    <w:rPr>
      <w:rFonts w:ascii="Segoe UI" w:hAnsi="Segoe UI" w:cs="Segoe UI"/>
      <w:sz w:val="18"/>
      <w:szCs w:val="18"/>
    </w:rPr>
  </w:style>
  <w:style w:type="numbering" w:styleId="NoList" w:default="1">
    <w:name w:val="No List"/>
    <w:uiPriority w:val="99"/>
    <w:semiHidden/>
    <w:unhideWhenUsed/>
    <w:qFormat/>
  </w:style>
  <w:style w:type="numbering" w:styleId="WW8Num71" w:customStyle="1">
    <w:name w:val="WW8Num71"/>
    <w:qFormat/>
  </w:style>
  <w:style w:type="numbering" w:styleId="Ningunalista" w:customStyle="1">
    <w:name w:val="Ninguna lista"/>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49</TotalTime>
  <Application>LibreOffice/7.6.7.2$Windows_X86_64 LibreOffice_project/dd47e4b30cb7dab30588d6c79c651f218165e3c5</Application>
  <AppVersion>15.0000</AppVersion>
  <Pages>2</Pages>
  <Words>594</Words>
  <Characters>3279</Characters>
  <CharactersWithSpaces>3866</CharactersWithSpaces>
  <Paragraphs>12</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2026-08-07T10:22:00Z</dcterms:created>
  <dc:creator>framirez</dc:creator>
  <dc:description/>
  <dc:language>es-ES</dc:language>
  <cp:lastModifiedBy>Carlos Alarcón Sánchez</cp:lastModifiedBy>
  <cp:lastPrinted>2026-01-05T09:55:00Z</cp:lastPrinted>
  <dcterms:modified xsi:type="dcterms:W3CDTF">2026-08-10T10:43:00Z</dcterms:modified>
  <cp:revision>15</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