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both"/>
        <w:rPr>
          <w:rFonts w:ascii="Arial Narrow" w:hAnsi="Arial Narrow"/>
          <w:b/>
          <w:bCs/>
          <w:sz w:val="40"/>
          <w:szCs w:val="40"/>
        </w:rPr>
      </w:pPr>
      <w:r>
        <w:rPr>
          <w:rFonts w:ascii="Arial Narrow" w:hAnsi="Arial Narrow"/>
          <w:b/>
          <w:bCs/>
          <w:sz w:val="40"/>
          <w:szCs w:val="40"/>
        </w:rPr>
      </w:r>
    </w:p>
    <w:p>
      <w:pPr>
        <w:pStyle w:val="Normal"/>
        <w:spacing w:lineRule="auto" w:line="240"/>
        <w:jc w:val="left"/>
        <w:rPr/>
      </w:pPr>
      <w:r>
        <w:rPr>
          <w:rStyle w:val="Strong"/>
          <w:rFonts w:ascii="Arial Narrow" w:hAnsi="Arial Narrow"/>
          <w:sz w:val="40"/>
          <w:szCs w:val="40"/>
        </w:rPr>
        <w:t>Nuevo impulso a la construcción de hasta 338 viviendas en la antigua Azucarera San Jerónimo</w:t>
      </w:r>
    </w:p>
    <w:p>
      <w:pPr>
        <w:pStyle w:val="Normal"/>
        <w:spacing w:lineRule="auto" w:line="240"/>
        <w:rPr>
          <w:rFonts w:ascii="Arial Narrow" w:hAnsi="Arial Narrow"/>
        </w:rPr>
      </w:pPr>
      <w:r>
        <w:rPr>
          <w:rFonts w:ascii="Arial Narrow" w:hAnsi="Arial Narrow"/>
        </w:rPr>
      </w:r>
    </w:p>
    <w:p>
      <w:pPr>
        <w:pStyle w:val="Normal"/>
        <w:rPr>
          <w:rStyle w:val="Strong"/>
          <w:rFonts w:ascii="Arial Narrow" w:hAnsi="Arial Narrow"/>
          <w:sz w:val="24"/>
          <w:szCs w:val="24"/>
        </w:rPr>
      </w:pPr>
      <w:r>
        <w:rPr>
          <w:rStyle w:val="Strong"/>
          <w:rFonts w:ascii="Arial Narrow" w:hAnsi="Arial Narrow"/>
          <w:b w:val="false"/>
          <w:sz w:val="32"/>
          <w:szCs w:val="32"/>
        </w:rPr>
        <w:t>El Ayuntamiento aprueba el Proyecto de Reparcelación de estos suelos promovidos por la iniciativa privada, con más de 50.000 metros cuadrados de superficie y un uso residencial predominante</w:t>
      </w:r>
    </w:p>
    <w:p>
      <w:pPr>
        <w:pStyle w:val="Normal"/>
        <w:spacing w:lineRule="auto" w:line="240"/>
        <w:jc w:val="both"/>
        <w:rPr>
          <w:rStyle w:val="Strong"/>
          <w:rFonts w:ascii="Arial Narrow" w:hAnsi="Arial Narrow"/>
          <w:sz w:val="24"/>
          <w:szCs w:val="24"/>
        </w:rPr>
      </w:pPr>
      <w:r>
        <w:rPr>
          <w:rFonts w:ascii="Arial Narrow" w:hAnsi="Arial Narrow"/>
          <w:sz w:val="24"/>
          <w:szCs w:val="24"/>
        </w:rPr>
      </w:r>
    </w:p>
    <w:p>
      <w:pPr>
        <w:pStyle w:val="Normal"/>
        <w:spacing w:lineRule="auto" w:line="240"/>
        <w:jc w:val="both"/>
        <w:rPr>
          <w:rStyle w:val="Strong"/>
          <w:rFonts w:ascii="Arial Narrow" w:hAnsi="Arial Narrow"/>
          <w:sz w:val="24"/>
          <w:szCs w:val="24"/>
        </w:rPr>
      </w:pPr>
      <w:r>
        <w:rPr>
          <w:rFonts w:ascii="Arial Narrow" w:hAnsi="Arial Narrow"/>
          <w:sz w:val="24"/>
          <w:szCs w:val="24"/>
        </w:rPr>
      </w:r>
    </w:p>
    <w:p>
      <w:pPr>
        <w:pStyle w:val="Normal"/>
        <w:spacing w:lineRule="auto" w:line="240"/>
        <w:jc w:val="both"/>
        <w:rPr/>
      </w:pPr>
      <w:r>
        <w:rPr>
          <w:rStyle w:val="Strong"/>
          <w:rFonts w:ascii="Arial Narrow" w:hAnsi="Arial Narrow"/>
          <w:color w:val="auto"/>
          <w:sz w:val="26"/>
          <w:szCs w:val="26"/>
        </w:rPr>
        <w:t>13</w:t>
      </w:r>
      <w:r>
        <w:rPr>
          <w:rStyle w:val="Strong"/>
          <w:rFonts w:ascii="Arial Narrow" w:hAnsi="Arial Narrow"/>
          <w:color w:val="auto"/>
          <w:sz w:val="26"/>
          <w:szCs w:val="26"/>
        </w:rPr>
        <w:t xml:space="preserve"> de agosto  2026.</w:t>
      </w:r>
      <w:r>
        <w:rPr>
          <w:rFonts w:ascii="Arial Narrow" w:hAnsi="Arial Narrow"/>
          <w:color w:val="auto"/>
          <w:sz w:val="26"/>
          <w:szCs w:val="26"/>
        </w:rPr>
        <w:t xml:space="preserve"> </w:t>
      </w:r>
      <w:r>
        <w:rPr>
          <w:rFonts w:ascii="Arial Narrow" w:hAnsi="Arial Narrow"/>
          <w:b w:val="false"/>
          <w:i w:val="false"/>
          <w:caps w:val="false"/>
          <w:smallCaps w:val="false"/>
          <w:color w:val="auto"/>
          <w:spacing w:val="0"/>
          <w:sz w:val="26"/>
          <w:szCs w:val="26"/>
        </w:rPr>
        <w:t xml:space="preserve">El Ayuntamiento continúa avanzando en el desarrollo urbanístico de los terrenos de la antigua Azucarera San Jerónimo con la aprobación, por parte de la Junta de Gobierno Local, del Proyecto de Reparcelación del </w:t>
      </w:r>
      <w:r>
        <w:rPr>
          <w:rStyle w:val="Strong"/>
          <w:rFonts w:ascii="Arial Narrow" w:hAnsi="Arial Narrow"/>
          <w:b w:val="false"/>
          <w:i w:val="false"/>
          <w:caps w:val="false"/>
          <w:smallCaps w:val="false"/>
          <w:color w:val="auto"/>
          <w:spacing w:val="0"/>
          <w:sz w:val="26"/>
          <w:szCs w:val="26"/>
        </w:rPr>
        <w:t>ARI D-01 Azucarera San Jerónimo</w:t>
      </w:r>
      <w:r>
        <w:rPr>
          <w:rFonts w:ascii="Arial Narrow" w:hAnsi="Arial Narrow"/>
          <w:b w:val="false"/>
          <w:i w:val="false"/>
          <w:caps w:val="false"/>
          <w:smallCaps w:val="false"/>
          <w:color w:val="auto"/>
          <w:spacing w:val="0"/>
          <w:sz w:val="26"/>
          <w:szCs w:val="26"/>
        </w:rPr>
        <w:t xml:space="preserve">. Este ámbito tiene capacidad para albergar un máximo de </w:t>
      </w:r>
      <w:r>
        <w:rPr>
          <w:rStyle w:val="Strong"/>
          <w:rFonts w:ascii="Arial Narrow" w:hAnsi="Arial Narrow"/>
          <w:b w:val="false"/>
          <w:i w:val="false"/>
          <w:caps w:val="false"/>
          <w:smallCaps w:val="false"/>
          <w:color w:val="auto"/>
          <w:spacing w:val="0"/>
          <w:sz w:val="26"/>
          <w:szCs w:val="26"/>
        </w:rPr>
        <w:t>338 viviendas</w:t>
      </w:r>
      <w:r>
        <w:rPr>
          <w:rFonts w:ascii="Arial Narrow" w:hAnsi="Arial Narrow"/>
          <w:b w:val="false"/>
          <w:i w:val="false"/>
          <w:caps w:val="false"/>
          <w:smallCaps w:val="false"/>
          <w:color w:val="auto"/>
          <w:spacing w:val="0"/>
          <w:sz w:val="26"/>
          <w:szCs w:val="26"/>
        </w:rPr>
        <w:t xml:space="preserve">, de las que al menos </w:t>
      </w:r>
      <w:r>
        <w:rPr>
          <w:rStyle w:val="Strong"/>
          <w:rFonts w:ascii="Arial Narrow" w:hAnsi="Arial Narrow"/>
          <w:b w:val="false"/>
          <w:i w:val="false"/>
          <w:caps w:val="false"/>
          <w:smallCaps w:val="false"/>
          <w:color w:val="auto"/>
          <w:spacing w:val="0"/>
          <w:sz w:val="26"/>
          <w:szCs w:val="26"/>
        </w:rPr>
        <w:t>119 serán viviendas protegidas</w:t>
      </w:r>
      <w:r>
        <w:rPr>
          <w:rFonts w:ascii="Arial Narrow" w:hAnsi="Arial Narrow"/>
          <w:b w:val="false"/>
          <w:i w:val="false"/>
          <w:caps w:val="false"/>
          <w:smallCaps w:val="false"/>
          <w:color w:val="auto"/>
          <w:spacing w:val="0"/>
          <w:sz w:val="26"/>
          <w:szCs w:val="26"/>
        </w:rPr>
        <w:t>.</w:t>
      </w:r>
    </w:p>
    <w:p>
      <w:pPr>
        <w:pStyle w:val="Normal"/>
        <w:spacing w:lineRule="auto" w:line="24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pPr>
      <w:r>
        <w:rPr>
          <w:rFonts w:ascii="Arial Narrow" w:hAnsi="Arial Narrow"/>
          <w:b w:val="false"/>
          <w:i w:val="false"/>
          <w:caps w:val="false"/>
          <w:smallCaps w:val="false"/>
          <w:color w:val="auto"/>
          <w:spacing w:val="0"/>
          <w:sz w:val="26"/>
          <w:szCs w:val="26"/>
        </w:rPr>
        <w:t xml:space="preserve">La delegada de Vivienda y Urbanismo, </w:t>
      </w:r>
      <w:r>
        <w:rPr>
          <w:rStyle w:val="Strong"/>
          <w:rFonts w:ascii="Arial Narrow" w:hAnsi="Arial Narrow"/>
          <w:b w:val="false"/>
          <w:i w:val="false"/>
          <w:caps w:val="false"/>
          <w:smallCaps w:val="false"/>
          <w:color w:val="auto"/>
          <w:spacing w:val="0"/>
          <w:sz w:val="26"/>
          <w:szCs w:val="26"/>
        </w:rPr>
        <w:t>Belén de la Cuadra</w:t>
      </w:r>
      <w:r>
        <w:rPr>
          <w:rFonts w:ascii="Arial Narrow" w:hAnsi="Arial Narrow"/>
          <w:b w:val="false"/>
          <w:i w:val="false"/>
          <w:caps w:val="false"/>
          <w:smallCaps w:val="false"/>
          <w:color w:val="auto"/>
          <w:spacing w:val="0"/>
          <w:sz w:val="26"/>
          <w:szCs w:val="26"/>
        </w:rPr>
        <w:t>, ha destacado que esta aprobación “supone un nuevo paso adelante para hacer posible la transformación de unos terrenos con un importante potencial residencial y para seguir poniendo a disposición suelo destinado a nuevas viviendas, con una presencia significativa de vivienda protegida”.</w:t>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pPr>
      <w:r>
        <w:rPr>
          <w:rFonts w:ascii="Arial Narrow" w:hAnsi="Arial Narrow"/>
          <w:b w:val="false"/>
          <w:i w:val="false"/>
          <w:caps w:val="false"/>
          <w:smallCaps w:val="false"/>
          <w:color w:val="auto"/>
          <w:spacing w:val="0"/>
          <w:sz w:val="26"/>
          <w:szCs w:val="26"/>
        </w:rPr>
        <w:t xml:space="preserve">El ARI D-01 Azucarera San Jerónimo cuenta con una superficie bruta de </w:t>
      </w:r>
      <w:r>
        <w:rPr>
          <w:rStyle w:val="Strong"/>
          <w:rFonts w:ascii="Arial Narrow" w:hAnsi="Arial Narrow"/>
          <w:b w:val="false"/>
          <w:i w:val="false"/>
          <w:caps w:val="false"/>
          <w:smallCaps w:val="false"/>
          <w:color w:val="auto"/>
          <w:spacing w:val="0"/>
          <w:sz w:val="26"/>
          <w:szCs w:val="26"/>
        </w:rPr>
        <w:t xml:space="preserve">51.857 metros cuadrados </w:t>
      </w:r>
      <w:r>
        <w:rPr>
          <w:rFonts w:ascii="Arial Narrow" w:hAnsi="Arial Narrow"/>
          <w:b w:val="false"/>
          <w:i w:val="false"/>
          <w:caps w:val="false"/>
          <w:smallCaps w:val="false"/>
          <w:color w:val="auto"/>
          <w:spacing w:val="0"/>
          <w:sz w:val="26"/>
          <w:szCs w:val="26"/>
        </w:rPr>
        <w:t xml:space="preserve">y tiene un uso predominantemente residencial. Los terrenos son propiedad de </w:t>
      </w:r>
      <w:r>
        <w:rPr>
          <w:rStyle w:val="Strong"/>
          <w:rFonts w:ascii="Arial Narrow" w:hAnsi="Arial Narrow"/>
          <w:b w:val="false"/>
          <w:i w:val="false"/>
          <w:caps w:val="false"/>
          <w:smallCaps w:val="false"/>
          <w:color w:val="auto"/>
          <w:spacing w:val="0"/>
          <w:sz w:val="26"/>
          <w:szCs w:val="26"/>
        </w:rPr>
        <w:t>Goframa Home S.L.</w:t>
      </w:r>
      <w:r>
        <w:rPr>
          <w:rFonts w:ascii="Arial Narrow" w:hAnsi="Arial Narrow"/>
          <w:b w:val="false"/>
          <w:i w:val="false"/>
          <w:caps w:val="false"/>
          <w:smallCaps w:val="false"/>
          <w:color w:val="auto"/>
          <w:spacing w:val="0"/>
          <w:sz w:val="26"/>
          <w:szCs w:val="26"/>
        </w:rPr>
        <w:t>, promotora de este Área de Reforma Interior, cuyo desarrollo se está gestionando mediante el sistema de actuación por compensación, gestionada por la Gestora Nuevo Impulso Inmobiliario SL (NIIM).</w:t>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ind w:hanging="0" w:left="0" w:right="0"/>
        <w:jc w:val="both"/>
        <w:rPr>
          <w:rFonts w:ascii="Arial Narrow" w:hAnsi="Arial Narrow"/>
          <w:color w:val="auto"/>
          <w:sz w:val="26"/>
          <w:szCs w:val="26"/>
        </w:rPr>
      </w:pPr>
      <w:r>
        <w:rPr>
          <w:rFonts w:ascii="Arial Narrow" w:hAnsi="Arial Narrow"/>
          <w:b w:val="false"/>
          <w:i w:val="false"/>
          <w:caps w:val="false"/>
          <w:smallCaps w:val="false"/>
          <w:color w:val="auto"/>
          <w:spacing w:val="0"/>
          <w:sz w:val="26"/>
          <w:szCs w:val="26"/>
        </w:rPr>
        <w:t>Belén De la Cuadra ha subrayado que “el objetivo del Ayuntamiento es facilitar que los ámbitos previstos en el planeamiento puedan avanzar y convertirse en nuevos espacios residenciales dotados de las infraestructuras, zonas libres y equipamientos necesarios, contribuyendo al mismo tiempo a ampliar la oferta de vivienda en Jerez”.</w:t>
      </w:r>
    </w:p>
    <w:p>
      <w:pPr>
        <w:pStyle w:val="BodyText"/>
        <w:widowControl/>
        <w:spacing w:lineRule="auto" w:line="240" w:before="0" w:after="0"/>
        <w:ind w:hanging="0" w:left="0" w:right="0"/>
        <w:jc w:val="both"/>
        <w:rPr/>
      </w:pPr>
      <w:r>
        <w:rPr>
          <w:rFonts w:ascii="Arial Narrow" w:hAnsi="Arial Narrow"/>
          <w:b w:val="false"/>
          <w:i w:val="false"/>
          <w:caps w:val="false"/>
          <w:smallCaps w:val="false"/>
          <w:color w:val="auto"/>
          <w:spacing w:val="0"/>
          <w:sz w:val="26"/>
          <w:szCs w:val="26"/>
        </w:rPr>
        <w:t xml:space="preserve">La tramitación de este ámbito comenzó en agosto de 2025 y alcanzó otro de sus principales hitos el pasado mes de febrero, cuando el Pleno aprobó definitivamente el </w:t>
      </w:r>
      <w:r>
        <w:rPr>
          <w:rStyle w:val="Strong"/>
          <w:rFonts w:ascii="Arial Narrow" w:hAnsi="Arial Narrow"/>
          <w:b w:val="false"/>
          <w:i w:val="false"/>
          <w:caps w:val="false"/>
          <w:smallCaps w:val="false"/>
          <w:color w:val="auto"/>
          <w:spacing w:val="0"/>
          <w:sz w:val="26"/>
          <w:szCs w:val="26"/>
        </w:rPr>
        <w:t xml:space="preserve">Estudio de Detalle, un documento urbanístico que permite concretar </w:t>
      </w:r>
      <w:r>
        <w:rPr>
          <w:rFonts w:ascii="Arial Narrow" w:hAnsi="Arial Narrow"/>
          <w:b w:val="false"/>
          <w:i w:val="false"/>
          <w:caps w:val="false"/>
          <w:smallCaps w:val="false"/>
          <w:color w:val="auto"/>
          <w:spacing w:val="0"/>
          <w:sz w:val="26"/>
          <w:szCs w:val="26"/>
        </w:rPr>
        <w:t>aspectos de la ordenación como los accesos, las calles y espacios interiores, la distribución de los volúmenes y alturas de las edificaciones y el ajuste de alineaciones y rasantes.</w:t>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before="0" w:after="0"/>
        <w:ind w:hanging="0" w:left="0" w:right="0"/>
        <w:jc w:val="both"/>
        <w:rPr/>
      </w:pPr>
      <w:r>
        <w:rPr>
          <w:rFonts w:ascii="Arial Narrow" w:hAnsi="Arial Narrow"/>
          <w:b w:val="false"/>
          <w:i w:val="false"/>
          <w:caps w:val="false"/>
          <w:smallCaps w:val="false"/>
          <w:color w:val="auto"/>
          <w:spacing w:val="0"/>
          <w:sz w:val="26"/>
          <w:szCs w:val="26"/>
        </w:rPr>
        <w:t xml:space="preserve">La aprobación definitiva del Estudio de Detalle permitió continuar con los siguientes  instrumentos necesarios para ejecutar el desarrollo, El Proyecto de </w:t>
      </w:r>
      <w:r>
        <w:rPr>
          <w:rStyle w:val="Strong"/>
          <w:rFonts w:ascii="Arial Narrow" w:hAnsi="Arial Narrow"/>
          <w:b w:val="false"/>
          <w:i w:val="false"/>
          <w:caps w:val="false"/>
          <w:smallCaps w:val="false"/>
          <w:color w:val="auto"/>
          <w:spacing w:val="0"/>
          <w:sz w:val="26"/>
          <w:szCs w:val="26"/>
        </w:rPr>
        <w:t>Reparcelación y Urbanización</w:t>
      </w:r>
      <w:r>
        <w:rPr>
          <w:rFonts w:ascii="Arial Narrow" w:hAnsi="Arial Narrow"/>
          <w:b w:val="false"/>
          <w:i w:val="false"/>
          <w:caps w:val="false"/>
          <w:smallCaps w:val="false"/>
          <w:color w:val="auto"/>
          <w:spacing w:val="0"/>
          <w:sz w:val="26"/>
          <w:szCs w:val="26"/>
        </w:rPr>
        <w:t>. Así pues, con esta aprobación se completa, por tanto, un nuevo trámite dentro del proceso previo a la urbanización efectiva de los terrenos y a la posterior concesión de las correspondientes licencias de edificación.</w:t>
      </w:r>
    </w:p>
    <w:p>
      <w:pPr>
        <w:pStyle w:val="BodyText"/>
        <w:widowControl/>
        <w:spacing w:lineRule="auto" w:line="24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widowControl/>
        <w:spacing w:lineRule="auto" w:line="240"/>
        <w:ind w:hanging="0" w:left="0" w:right="0"/>
        <w:jc w:val="both"/>
        <w:rPr>
          <w:rFonts w:ascii="Arial Narrow" w:hAnsi="Arial Narrow"/>
          <w:color w:val="auto"/>
          <w:sz w:val="26"/>
          <w:szCs w:val="26"/>
        </w:rPr>
      </w:pPr>
      <w:r>
        <w:rPr>
          <w:rFonts w:ascii="Arial Narrow" w:hAnsi="Arial Narrow"/>
          <w:b w:val="false"/>
          <w:i w:val="false"/>
          <w:caps w:val="false"/>
          <w:smallCaps w:val="false"/>
          <w:color w:val="auto"/>
          <w:spacing w:val="0"/>
          <w:sz w:val="26"/>
          <w:szCs w:val="26"/>
        </w:rPr>
        <w:t>En este sentido, Belén de la Cuadra ha señalado que “estamos cumpliendo los pasos previstos para que este proyecto pueda materializarse con todas las garantías. Se trata de seguir agilizando la gestión urbanística para favorecer la inversión, el desarrollo de la ciudad y, especialmente, la creación de nuevas oportunidades residenciales y de vivienda asequible”.</w:t>
      </w:r>
    </w:p>
    <w:p>
      <w:pPr>
        <w:pStyle w:val="BodyText"/>
        <w:widowControl/>
        <w:spacing w:lineRule="auto" w:line="240" w:before="0" w:after="0"/>
        <w:ind w:hanging="0" w:left="0" w:right="0"/>
        <w:jc w:val="both"/>
        <w:rPr/>
      </w:pPr>
      <w:r>
        <w:rPr>
          <w:rFonts w:ascii="Arial Narrow" w:hAnsi="Arial Narrow"/>
          <w:b w:val="false"/>
          <w:i w:val="false"/>
          <w:caps w:val="false"/>
          <w:smallCaps w:val="false"/>
          <w:color w:val="auto"/>
          <w:spacing w:val="0"/>
          <w:sz w:val="26"/>
          <w:szCs w:val="26"/>
        </w:rPr>
        <w:t xml:space="preserve">Según la información aportada por el promotor, </w:t>
      </w:r>
      <w:r>
        <w:rPr>
          <w:rStyle w:val="Strong"/>
          <w:rFonts w:ascii="Arial Narrow" w:hAnsi="Arial Narrow"/>
          <w:b w:val="false"/>
          <w:i w:val="false"/>
          <w:caps w:val="false"/>
          <w:smallCaps w:val="false"/>
          <w:color w:val="auto"/>
          <w:spacing w:val="0"/>
          <w:sz w:val="26"/>
          <w:szCs w:val="26"/>
        </w:rPr>
        <w:t>Goframa Homes S.L.</w:t>
      </w:r>
      <w:r>
        <w:rPr>
          <w:rFonts w:ascii="Arial Narrow" w:hAnsi="Arial Narrow"/>
          <w:b w:val="false"/>
          <w:i w:val="false"/>
          <w:caps w:val="false"/>
          <w:smallCaps w:val="false"/>
          <w:color w:val="auto"/>
          <w:spacing w:val="0"/>
          <w:sz w:val="26"/>
          <w:szCs w:val="26"/>
        </w:rPr>
        <w:t xml:space="preserve">, y el gestor, </w:t>
      </w:r>
      <w:r>
        <w:rPr>
          <w:rStyle w:val="Strong"/>
          <w:rFonts w:ascii="Arial Narrow" w:hAnsi="Arial Narrow"/>
          <w:b w:val="false"/>
          <w:i w:val="false"/>
          <w:caps w:val="false"/>
          <w:smallCaps w:val="false"/>
          <w:color w:val="auto"/>
          <w:spacing w:val="0"/>
          <w:sz w:val="26"/>
          <w:szCs w:val="26"/>
        </w:rPr>
        <w:t>Nuevo Impulso Inmobiliario S.L.</w:t>
      </w:r>
      <w:r>
        <w:rPr>
          <w:rFonts w:ascii="Arial Narrow" w:hAnsi="Arial Narrow"/>
          <w:b w:val="false"/>
          <w:i w:val="false"/>
          <w:caps w:val="false"/>
          <w:smallCaps w:val="false"/>
          <w:color w:val="auto"/>
          <w:spacing w:val="0"/>
          <w:sz w:val="26"/>
          <w:szCs w:val="26"/>
        </w:rPr>
        <w:t xml:space="preserve">, el desarrollo residencial se plantea en cuatro fases y contempla </w:t>
      </w:r>
      <w:r>
        <w:rPr>
          <w:rStyle w:val="Strong"/>
          <w:rFonts w:ascii="Arial Narrow" w:hAnsi="Arial Narrow"/>
          <w:b w:val="false"/>
          <w:i w:val="false"/>
          <w:caps w:val="false"/>
          <w:smallCaps w:val="false"/>
          <w:color w:val="auto"/>
          <w:spacing w:val="0"/>
          <w:sz w:val="26"/>
          <w:szCs w:val="26"/>
        </w:rPr>
        <w:t xml:space="preserve">167 viviendas en bloque de renta libre, 32 viviendas pareadas, 20 viviendas adosadas y 119 viviendas protegidas en bloque. </w:t>
      </w:r>
      <w:r>
        <w:rPr>
          <w:rFonts w:ascii="Arial Narrow" w:hAnsi="Arial Narrow"/>
          <w:b w:val="false"/>
          <w:i w:val="false"/>
          <w:caps w:val="false"/>
          <w:smallCaps w:val="false"/>
          <w:color w:val="auto"/>
          <w:spacing w:val="0"/>
          <w:sz w:val="26"/>
          <w:szCs w:val="26"/>
        </w:rPr>
        <w:t xml:space="preserve">Además, está prevista una manzana destinada a uso terciario o comercial, que permitirá incorporar nuevos servicios al futuro ámbito residencial, esencial y único en la zona de Pozoalbero. </w:t>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BodyText"/>
        <w:spacing w:lineRule="auto" w:line="240" w:before="0" w:after="0"/>
        <w:jc w:val="both"/>
        <w:rPr>
          <w:rFonts w:ascii="Arial Narrow" w:hAnsi="Arial Narrow"/>
          <w:color w:val="auto"/>
          <w:sz w:val="26"/>
          <w:szCs w:val="26"/>
        </w:rPr>
      </w:pPr>
      <w:r>
        <w:rPr>
          <w:rFonts w:ascii="Arial Narrow" w:hAnsi="Arial Narrow"/>
          <w:b w:val="false"/>
          <w:i w:val="false"/>
          <w:caps w:val="false"/>
          <w:smallCaps w:val="false"/>
          <w:color w:val="auto"/>
          <w:spacing w:val="0"/>
          <w:sz w:val="26"/>
          <w:szCs w:val="26"/>
        </w:rPr>
        <w:t>Asimismo, cabe destacar que el Proyecto de Urbanización ya ha sido presentado oficialmente en el Registro de entrada del Ayuntamiento, por lo que tras su tramitación y aprobación, podrán simultanearse las obras de edificación con las de urbanización.</w:t>
      </w:r>
    </w:p>
    <w:p>
      <w:pPr>
        <w:pStyle w:val="BodyText"/>
        <w:widowControl/>
        <w:spacing w:lineRule="auto" w:line="240" w:before="0" w:after="0"/>
        <w:ind w:hanging="0" w:left="0" w:right="0"/>
        <w:jc w:val="both"/>
        <w:rPr>
          <w:b w:val="false"/>
          <w:i w:val="false"/>
          <w:i w:val="false"/>
          <w:caps w:val="false"/>
          <w:smallCaps w:val="false"/>
          <w:spacing w:val="0"/>
        </w:rPr>
      </w:pPr>
      <w:r>
        <w:rPr>
          <w:b w:val="false"/>
          <w:i w:val="false"/>
          <w:caps w:val="false"/>
          <w:smallCaps w:val="false"/>
          <w:spacing w:val="0"/>
        </w:rPr>
      </w:r>
    </w:p>
    <w:p>
      <w:pPr>
        <w:pStyle w:val="BodyText"/>
        <w:widowControl/>
        <w:spacing w:lineRule="auto" w:line="240" w:before="0" w:after="0"/>
        <w:ind w:hanging="0" w:left="0" w:right="0"/>
        <w:jc w:val="both"/>
        <w:rPr/>
      </w:pPr>
      <w:r>
        <w:rPr>
          <w:rFonts w:ascii="Arial Narrow" w:hAnsi="Arial Narrow"/>
          <w:b w:val="false"/>
          <w:i w:val="false"/>
          <w:caps w:val="false"/>
          <w:smallCaps w:val="false"/>
          <w:color w:val="auto"/>
          <w:spacing w:val="0"/>
          <w:sz w:val="26"/>
          <w:szCs w:val="26"/>
        </w:rPr>
        <w:t xml:space="preserve">El ARI D-01 Azucarera San Jerónimo dispone de una </w:t>
      </w:r>
      <w:r>
        <w:rPr>
          <w:rStyle w:val="Strong"/>
          <w:rFonts w:ascii="Arial Narrow" w:hAnsi="Arial Narrow"/>
          <w:b w:val="false"/>
          <w:i w:val="false"/>
          <w:caps w:val="false"/>
          <w:smallCaps w:val="false"/>
          <w:color w:val="auto"/>
          <w:spacing w:val="0"/>
          <w:sz w:val="26"/>
          <w:szCs w:val="26"/>
        </w:rPr>
        <w:t>edificabilidad máxima de 36.687,04 metros cuadrados</w:t>
      </w:r>
      <w:r>
        <w:rPr>
          <w:rFonts w:ascii="Arial Narrow" w:hAnsi="Arial Narrow"/>
          <w:b w:val="false"/>
          <w:i w:val="false"/>
          <w:caps w:val="false"/>
          <w:smallCaps w:val="false"/>
          <w:color w:val="auto"/>
          <w:spacing w:val="0"/>
          <w:sz w:val="26"/>
          <w:szCs w:val="26"/>
        </w:rPr>
        <w:t xml:space="preserve">. Además, reserva </w:t>
      </w:r>
      <w:r>
        <w:rPr>
          <w:rStyle w:val="Strong"/>
          <w:rFonts w:ascii="Arial Narrow" w:hAnsi="Arial Narrow"/>
          <w:b w:val="false"/>
          <w:i w:val="false"/>
          <w:caps w:val="false"/>
          <w:smallCaps w:val="false"/>
          <w:color w:val="auto"/>
          <w:spacing w:val="0"/>
          <w:sz w:val="26"/>
          <w:szCs w:val="26"/>
        </w:rPr>
        <w:t xml:space="preserve">6.991,63 metros cuadrados para espacios libres públicos </w:t>
      </w:r>
      <w:r>
        <w:rPr>
          <w:rFonts w:ascii="Arial Narrow" w:hAnsi="Arial Narrow"/>
          <w:b w:val="false"/>
          <w:i w:val="false"/>
          <w:caps w:val="false"/>
          <w:smallCaps w:val="false"/>
          <w:color w:val="auto"/>
          <w:spacing w:val="0"/>
          <w:sz w:val="26"/>
          <w:szCs w:val="26"/>
        </w:rPr>
        <w:t xml:space="preserve">y </w:t>
      </w:r>
      <w:r>
        <w:rPr>
          <w:rStyle w:val="Strong"/>
          <w:rFonts w:ascii="Arial Narrow" w:hAnsi="Arial Narrow"/>
          <w:b w:val="false"/>
          <w:i w:val="false"/>
          <w:caps w:val="false"/>
          <w:smallCaps w:val="false"/>
          <w:color w:val="auto"/>
          <w:spacing w:val="0"/>
          <w:sz w:val="26"/>
          <w:szCs w:val="26"/>
        </w:rPr>
        <w:t>1.350,15 metros cuadrados para equipamiento público</w:t>
      </w:r>
      <w:r>
        <w:rPr>
          <w:rFonts w:ascii="Arial Narrow" w:hAnsi="Arial Narrow"/>
          <w:b w:val="false"/>
          <w:i w:val="false"/>
          <w:caps w:val="false"/>
          <w:smallCaps w:val="false"/>
          <w:color w:val="auto"/>
          <w:spacing w:val="0"/>
          <w:sz w:val="26"/>
          <w:szCs w:val="26"/>
        </w:rPr>
        <w:t>.</w:t>
      </w:r>
    </w:p>
    <w:p>
      <w:pPr>
        <w:pStyle w:val="BodyText"/>
        <w:widowControl/>
        <w:spacing w:lineRule="auto" w:line="240" w:before="0" w:after="0"/>
        <w:ind w:hanging="0" w:left="0" w:right="0"/>
        <w:jc w:val="both"/>
        <w:rPr>
          <w:rFonts w:ascii="Arial Narrow" w:hAnsi="Arial Narrow"/>
          <w:b w:val="false"/>
          <w:i w:val="false"/>
          <w:i w:val="false"/>
          <w:caps w:val="false"/>
          <w:smallCaps w:val="false"/>
          <w:color w:val="auto"/>
          <w:spacing w:val="0"/>
          <w:sz w:val="26"/>
          <w:szCs w:val="26"/>
        </w:rPr>
      </w:pPr>
      <w:r>
        <w:rPr>
          <w:rFonts w:ascii="Arial Narrow" w:hAnsi="Arial Narrow"/>
          <w:b w:val="false"/>
          <w:i w:val="false"/>
          <w:caps w:val="false"/>
          <w:smallCaps w:val="false"/>
          <w:color w:val="auto"/>
          <w:spacing w:val="0"/>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p>
      <w:pPr>
        <w:pStyle w:val="Normal"/>
        <w:spacing w:lineRule="auto" w:line="240"/>
        <w:jc w:val="both"/>
        <w:rPr>
          <w:rFonts w:ascii="Arial Narrow" w:hAnsi="Arial Narrow"/>
          <w:color w:val="auto"/>
          <w:sz w:val="26"/>
          <w:szCs w:val="26"/>
        </w:rPr>
      </w:pPr>
      <w:r>
        <w:rPr>
          <w:rFonts w:ascii="Arial Narrow" w:hAnsi="Arial Narrow"/>
          <w:color w:val="auto"/>
          <w:sz w:val="26"/>
          <w:szCs w:val="26"/>
        </w:rPr>
      </w:r>
    </w:p>
    <w:sectPr>
      <w:headerReference w:type="default" r:id="rId2"/>
      <w:type w:val="nextPage"/>
      <w:pgSz w:w="11906" w:h="16838"/>
      <w:pgMar w:left="1701" w:right="1701" w:gutter="0" w:header="708"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erif">
    <w:altName w:val="Times New Roman"/>
    <w:charset w:val="00"/>
    <w:family w:val="swiss"/>
    <w:pitch w:val="variable"/>
  </w:font>
  <w:font w:name="OpenSymbol">
    <w:altName w:val="Arial Unicode MS"/>
    <w:charset w:val="00"/>
    <w:family w:val="roman"/>
    <w:pitch w:val="variable"/>
  </w:font>
  <w:font w:name="Liberation Sans">
    <w:altName w:val="Arial"/>
    <w:charset w:val="00"/>
    <w:family w:val="roman"/>
    <w:pitch w:val="variable"/>
  </w:font>
  <w:font w:name="Century Gothic">
    <w:charset w:val="00"/>
    <w:family w:val="roman"/>
    <w:pitch w:val="variable"/>
  </w:font>
  <w:font w:name="Calibri">
    <w:charset w:val="00"/>
    <w:family w:val="roman"/>
    <w:pitch w:val="variable"/>
  </w:font>
  <w:font w:name="Courier New">
    <w:charset w:val="00"/>
    <w:family w:val="roman"/>
    <w:pitch w:val="variable"/>
  </w:font>
  <w:font w:name="Liberation Mono">
    <w:altName w:val="Courier New"/>
    <w:charset w:val="00"/>
    <w:family w:val="roman"/>
    <w:pitch w:val="variable"/>
  </w:font>
  <w:font w:name="Arial Narrow">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drawing>
        <wp:inline distT="0" distB="0" distL="0" distR="0">
          <wp:extent cx="5671185" cy="816610"/>
          <wp:effectExtent l="0" t="0" r="0" b="0"/>
          <wp:docPr id="1" name="Imagen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pPr>
      <w:pStyle w:val="Header"/>
      <w:rPr/>
    </w:pPr>
    <w:r>
      <w:rPr/>
    </w:r>
  </w:p>
</w:hdr>
</file>

<file path=word/settings.xml><?xml version="1.0" encoding="utf-8"?>
<w:settings xmlns:w="http://schemas.openxmlformats.org/wordprocessingml/2006/main">
  <w:zoom w:percent="120"/>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DejaVu Sans" w:asciiTheme="minorHAnsi" w:cstheme="minorBidi" w:eastAsiaTheme="minorHAnsi" w:hAnsiTheme="minorHAnsi"/>
        <w:sz w:val="24"/>
        <w:szCs w:val="24"/>
        <w:lang w:val="es-E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Arial" w:hAnsi="Arial" w:eastAsia="Arial" w:cs="DejaVu Sans" w:asciiTheme="minorHAnsi" w:cstheme="minorBidi" w:eastAsiaTheme="minorHAnsi" w:hAnsiTheme="minorHAnsi"/>
      <w:color w:val="auto"/>
      <w:kern w:val="0"/>
      <w:sz w:val="24"/>
      <w:szCs w:val="24"/>
      <w:lang w:val="es-ES" w:eastAsia="en-US" w:bidi="ar-SA"/>
    </w:rPr>
  </w:style>
  <w:style w:type="paragraph" w:styleId="Heading1">
    <w:name w:val="Heading 1"/>
    <w:basedOn w:val="Title"/>
    <w:next w:val="BodyText"/>
    <w:qFormat/>
    <w:pPr>
      <w:outlineLvl w:val="0"/>
    </w:pPr>
    <w:rPr>
      <w:rFonts w:ascii="Liberation Serif" w:hAnsi="Liberation Serif" w:eastAsia="Segoe UI" w:cs="Tahoma"/>
      <w:b/>
      <w:bCs/>
      <w:sz w:val="48"/>
      <w:szCs w:val="48"/>
    </w:rPr>
  </w:style>
  <w:style w:type="paragraph" w:styleId="Heading2">
    <w:name w:val="Heading 2"/>
    <w:basedOn w:val="Normal"/>
    <w:next w:val="BodyText"/>
    <w:qFormat/>
    <w:pPr>
      <w:spacing w:lineRule="auto" w:line="360" w:before="320" w:after="80"/>
      <w:outlineLvl w:val="1"/>
    </w:pPr>
    <w:rPr>
      <w:rFonts w:ascii="Arial" w:hAnsi="Arial" w:eastAsia="Arial" w:cs="Arial"/>
      <w:b/>
      <w:bCs/>
      <w:color w:themeColor="text1" w:val="000000"/>
      <w:sz w:val="32"/>
      <w:szCs w:val="32"/>
    </w:rPr>
  </w:style>
  <w:style w:type="paragraph" w:styleId="Heading3">
    <w:name w:val="Heading 3"/>
    <w:basedOn w:val="Ttulo"/>
    <w:next w:val="BodyText"/>
    <w:qFormat/>
    <w:pPr>
      <w:spacing w:before="140" w:after="120"/>
      <w:outlineLvl w:val="2"/>
    </w:pPr>
    <w:rPr>
      <w:rFonts w:ascii="Liberation Serif" w:hAnsi="Liberation Serif" w:eastAsia="Segoe UI" w:cs="Tahoma"/>
      <w:b/>
      <w:bCs/>
      <w:sz w:val="28"/>
      <w:szCs w:val="28"/>
    </w:rPr>
  </w:style>
  <w:style w:type="paragraph" w:styleId="Heading4">
    <w:name w:val="Heading 4"/>
    <w:basedOn w:val="Ttulo1"/>
    <w:next w:val="BodyText"/>
    <w:qFormat/>
    <w:pPr>
      <w:spacing w:before="120" w:after="120"/>
      <w:outlineLvl w:val="3"/>
    </w:pPr>
    <w:rPr>
      <w:rFonts w:ascii="Liberation Serif" w:hAnsi="Liberation Serif" w:eastAsia="Segoe UI" w:cs="Tahoma"/>
      <w:b/>
      <w:bCs/>
      <w:sz w:val="24"/>
      <w:szCs w:val="24"/>
    </w:rPr>
  </w:style>
  <w:style w:type="character" w:styleId="DefaultParagraphFont" w:default="1">
    <w:name w:val="Default Paragraph Font"/>
    <w:uiPriority w:val="1"/>
    <w:semiHidden/>
    <w:unhideWhenUsed/>
    <w:qFormat/>
    <w:rPr/>
  </w:style>
  <w:style w:type="character" w:styleId="EncabezadoCar" w:customStyle="1">
    <w:name w:val="Encabezado Car"/>
    <w:basedOn w:val="DefaultParagraphFont"/>
    <w:uiPriority w:val="99"/>
    <w:qFormat/>
    <w:rsid w:val="00b46d82"/>
    <w:rPr/>
  </w:style>
  <w:style w:type="character" w:styleId="PiedepginaCar" w:customStyle="1">
    <w:name w:val="Pie de página Car"/>
    <w:basedOn w:val="DefaultParagraphFont"/>
    <w:uiPriority w:val="99"/>
    <w:qFormat/>
    <w:rsid w:val="00b46d82"/>
    <w:rPr/>
  </w:style>
  <w:style w:type="character" w:styleId="Hyperlink">
    <w:name w:val="Hyperlink"/>
    <w:rPr>
      <w:color w:val="000080"/>
      <w:u w:val="single"/>
    </w:rPr>
  </w:style>
  <w:style w:type="character" w:styleId="Fuentedeprrafopredeter1" w:customStyle="1">
    <w:name w:val="Fuente de párrafo predeter.1"/>
    <w:qFormat/>
    <w:rPr/>
  </w:style>
  <w:style w:type="character" w:styleId="WW8Num71z0" w:customStyle="1">
    <w:name w:val="WW8Num71z0"/>
    <w:qFormat/>
    <w:rPr>
      <w:b/>
      <w:color w:val="0070C0"/>
    </w:rPr>
  </w:style>
  <w:style w:type="character" w:styleId="Strong">
    <w:name w:val="Strong"/>
    <w:qFormat/>
    <w:rPr>
      <w:b/>
      <w:bCs/>
    </w:rPr>
  </w:style>
  <w:style w:type="character" w:styleId="Smbolosdenumeracin" w:customStyle="1">
    <w:name w:val="Símbolos de numeración"/>
    <w:qFormat/>
    <w:rPr/>
  </w:style>
  <w:style w:type="character" w:styleId="Emphasis">
    <w:name w:val="Emphasis"/>
    <w:qFormat/>
    <w:rPr>
      <w:i/>
      <w:iCs/>
    </w:rPr>
  </w:style>
  <w:style w:type="character" w:styleId="Bolos" w:customStyle="1">
    <w:name w:val="Bolos"/>
    <w:qFormat/>
    <w:rPr>
      <w:rFonts w:ascii="OpenSymbol" w:hAnsi="OpenSymbol" w:eastAsia="OpenSymbol" w:cs="OpenSymbol"/>
    </w:rPr>
  </w:style>
  <w:style w:type="character" w:styleId="FollowedHyperlink">
    <w:name w:val="FollowedHyperlink"/>
    <w:rPr>
      <w:color w:val="800080"/>
      <w:u w:val="single"/>
    </w:rPr>
  </w:style>
  <w:style w:type="character" w:styleId="Fuentedeprrafopredeter2" w:customStyle="1">
    <w:name w:val="Fuente de párrafo predeter.2"/>
    <w:qFormat/>
    <w:rPr/>
  </w:style>
  <w:style w:type="paragraph" w:styleId="Ttulo" w:customStyle="1">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Ndice" w:customStyle="1">
    <w:name w:val="Índice"/>
    <w:basedOn w:val="Normal"/>
    <w:qFormat/>
    <w:pPr>
      <w:suppressLineNumbers/>
    </w:pPr>
    <w:rPr>
      <w:rFonts w:cs="Arial"/>
    </w:rPr>
  </w:style>
  <w:style w:type="paragraph" w:styleId="Title">
    <w:name w:val="Title"/>
    <w:basedOn w:val="Normal"/>
    <w:next w:val="BodyText"/>
    <w:qFormat/>
    <w:pPr>
      <w:keepNext w:val="true"/>
      <w:spacing w:before="240" w:after="120"/>
    </w:pPr>
    <w:rPr>
      <w:rFonts w:ascii="Liberation Sans" w:hAnsi="Liberation Sans" w:eastAsia="Microsoft YaHei" w:cs="Arial"/>
      <w:sz w:val="28"/>
      <w:szCs w:val="28"/>
    </w:rPr>
  </w:style>
  <w:style w:type="paragraph" w:styleId="Caption1">
    <w:name w:val="caption1"/>
    <w:basedOn w:val="Normal"/>
    <w:qFormat/>
    <w:pPr>
      <w:suppressLineNumbers/>
      <w:spacing w:before="120" w:after="120"/>
    </w:pPr>
    <w:rPr>
      <w:rFonts w:cs="Arial"/>
      <w:i/>
      <w:iCs/>
    </w:rPr>
  </w:style>
  <w:style w:type="paragraph" w:styleId="Ttulo1" w:customStyle="1">
    <w:name w:val="Título1"/>
    <w:basedOn w:val="Normal"/>
    <w:next w:val="BodyText"/>
    <w:qFormat/>
    <w:pPr>
      <w:keepNext w:val="true"/>
      <w:spacing w:before="240" w:after="120"/>
    </w:pPr>
    <w:rPr>
      <w:rFonts w:ascii="Liberation Sans" w:hAnsi="Liberation Sans" w:eastAsia="Microsoft YaHei" w:cs="Arial"/>
      <w:sz w:val="28"/>
      <w:szCs w:val="28"/>
    </w:rPr>
  </w:style>
  <w:style w:type="paragraph" w:styleId="Caption11" w:customStyle="1">
    <w:name w:val="caption11"/>
    <w:basedOn w:val="Normal"/>
    <w:qFormat/>
    <w:pPr>
      <w:suppressLineNumbers/>
      <w:spacing w:before="120" w:after="120"/>
    </w:pPr>
    <w:rPr>
      <w:rFonts w:cs="Arial"/>
      <w:i/>
      <w:iCs/>
    </w:rPr>
  </w:style>
  <w:style w:type="paragraph" w:styleId="Caption111" w:customStyle="1">
    <w:name w:val="caption111"/>
    <w:basedOn w:val="Normal"/>
    <w:qFormat/>
    <w:pPr>
      <w:suppressLineNumbers/>
      <w:spacing w:before="120" w:after="120"/>
    </w:pPr>
    <w:rPr>
      <w:rFonts w:cs="Arial"/>
      <w:i/>
      <w:iCs/>
    </w:rPr>
  </w:style>
  <w:style w:type="paragraph" w:styleId="Cabeceraypie" w:customStyle="1">
    <w:name w:val="Cabecera y pie"/>
    <w:basedOn w:val="Normal"/>
    <w:qFormat/>
    <w:pPr/>
    <w:rPr/>
  </w:style>
  <w:style w:type="paragraph" w:styleId="Header">
    <w:name w:val="Header"/>
    <w:basedOn w:val="Normal"/>
    <w:link w:val="EncabezadoCar"/>
    <w:uiPriority w:val="99"/>
    <w:unhideWhenUsed/>
    <w:rsid w:val="00b46d82"/>
    <w:pPr>
      <w:tabs>
        <w:tab w:val="clear" w:pos="708"/>
        <w:tab w:val="center" w:pos="4252" w:leader="none"/>
        <w:tab w:val="right" w:pos="8504" w:leader="none"/>
      </w:tabs>
    </w:pPr>
    <w:rPr/>
  </w:style>
  <w:style w:type="paragraph" w:styleId="Footer">
    <w:name w:val="Footer"/>
    <w:basedOn w:val="Normal"/>
    <w:link w:val="PiedepginaCar"/>
    <w:uiPriority w:val="99"/>
    <w:unhideWhenUsed/>
    <w:rsid w:val="00b46d82"/>
    <w:pPr>
      <w:tabs>
        <w:tab w:val="clear" w:pos="708"/>
        <w:tab w:val="center" w:pos="4252" w:leader="none"/>
        <w:tab w:val="right" w:pos="8504" w:leader="none"/>
      </w:tabs>
    </w:pPr>
    <w:rPr/>
  </w:style>
  <w:style w:type="paragraph" w:styleId="Default" w:customStyle="1">
    <w:name w:val="Default"/>
    <w:qFormat/>
    <w:pPr>
      <w:widowControl/>
      <w:suppressAutoHyphens w:val="true"/>
      <w:bidi w:val="0"/>
      <w:spacing w:before="0" w:after="0"/>
      <w:jc w:val="left"/>
    </w:pPr>
    <w:rPr>
      <w:rFonts w:ascii="Century Gothic" w:hAnsi="Century Gothic" w:eastAsia="Calibri" w:cs="DejaVu Sans"/>
      <w:color w:val="000000"/>
      <w:kern w:val="0"/>
      <w:sz w:val="24"/>
      <w:szCs w:val="24"/>
      <w:lang w:val="es-ES" w:eastAsia="en-US" w:bidi="ar-SA"/>
    </w:rPr>
  </w:style>
  <w:style w:type="paragraph" w:styleId="Western" w:customStyle="1">
    <w:name w:val="western"/>
    <w:basedOn w:val="Normal"/>
    <w:qFormat/>
    <w:pPr/>
    <w:rPr>
      <w:rFonts w:ascii="Times New Roman" w:hAnsi="Times New Roman" w:eastAsia="Calibri"/>
    </w:rPr>
  </w:style>
  <w:style w:type="paragraph" w:styleId="NormalWeb">
    <w:name w:val="Normal (Web)"/>
    <w:basedOn w:val="Normal"/>
    <w:qFormat/>
    <w:pPr/>
    <w:rPr>
      <w:rFonts w:ascii="Times New Roman" w:hAnsi="Times New Roman" w:eastAsia="Calibri" w:cs="Times New Roman"/>
    </w:rPr>
  </w:style>
  <w:style w:type="paragraph" w:styleId="PlainText">
    <w:name w:val="Plain Text"/>
    <w:basedOn w:val="Normal"/>
    <w:qFormat/>
    <w:pPr>
      <w:suppressAutoHyphens w:val="false"/>
    </w:pPr>
    <w:rPr>
      <w:rFonts w:ascii="Calibri" w:hAnsi="Calibri" w:eastAsia="Calibri" w:cs="Times New Roman"/>
      <w:sz w:val="22"/>
      <w:szCs w:val="21"/>
    </w:rPr>
  </w:style>
  <w:style w:type="paragraph" w:styleId="FirstParagraph" w:customStyle="1">
    <w:name w:val="First Paragraph"/>
    <w:basedOn w:val="BodyText"/>
    <w:next w:val="BodyText"/>
    <w:qFormat/>
    <w:pPr>
      <w:spacing w:before="240" w:after="180"/>
    </w:pPr>
    <w:rPr/>
  </w:style>
  <w:style w:type="paragraph" w:styleId="ListParagraph">
    <w:name w:val="List Paragraph"/>
    <w:basedOn w:val="Normal"/>
    <w:qFormat/>
    <w:pPr>
      <w:spacing w:before="0" w:after="0"/>
      <w:ind w:left="720"/>
      <w:contextualSpacing/>
    </w:pPr>
    <w:rPr/>
  </w:style>
  <w:style w:type="paragraph" w:styleId="Compact" w:customStyle="1">
    <w:name w:val="Compact"/>
    <w:basedOn w:val="BodyText"/>
    <w:qFormat/>
    <w:pPr>
      <w:spacing w:before="36" w:after="36"/>
    </w:pPr>
    <w:rPr/>
  </w:style>
  <w:style w:type="paragraph" w:styleId="BlockText">
    <w:name w:val="Block Text"/>
    <w:basedOn w:val="BodyText"/>
    <w:next w:val="BodyText"/>
    <w:qFormat/>
    <w:pPr>
      <w:pBdr>
        <w:left w:val="single" w:sz="24" w:space="4" w:color="E6E6E6" w:themeColor="light2" w:themeShade="e6"/>
      </w:pBdr>
      <w:spacing w:before="100" w:after="100"/>
      <w:ind w:left="397" w:right="482"/>
    </w:pPr>
    <w:rPr>
      <w:color w:themeColor="background2" w:themeShade="80" w:val="808080"/>
    </w:rPr>
  </w:style>
  <w:style w:type="paragraph" w:styleId="Textosinformato1" w:customStyle="1">
    <w:name w:val="Texto sin formato1"/>
    <w:basedOn w:val="Normal"/>
    <w:qFormat/>
    <w:pPr/>
    <w:rPr>
      <w:rFonts w:ascii="Courier New" w:hAnsi="Courier New" w:cs="Courier New"/>
      <w:sz w:val="20"/>
      <w:szCs w:val="20"/>
    </w:rPr>
  </w:style>
  <w:style w:type="paragraph" w:styleId="Contenidodelatabla" w:customStyle="1">
    <w:name w:val="Contenido de la tabla"/>
    <w:basedOn w:val="Normal"/>
    <w:qFormat/>
    <w:pPr>
      <w:widowControl w:val="false"/>
      <w:suppressLineNumbers/>
    </w:pPr>
    <w:rPr/>
  </w:style>
  <w:style w:type="paragraph" w:styleId="Ttulodelatabla" w:customStyle="1">
    <w:name w:val="Título de la tabla"/>
    <w:basedOn w:val="Contenidodelatabla"/>
    <w:qFormat/>
    <w:pPr>
      <w:jc w:val="center"/>
    </w:pPr>
    <w:rPr>
      <w:b/>
      <w:bCs/>
    </w:rPr>
  </w:style>
  <w:style w:type="paragraph" w:styleId="Textopreformateado" w:customStyle="1">
    <w:name w:val="Texto preformateado"/>
    <w:basedOn w:val="Normal"/>
    <w:qFormat/>
    <w:pPr/>
    <w:rPr>
      <w:rFonts w:ascii="Liberation Mono" w:hAnsi="Liberation Mono" w:cs="Liberation Mono"/>
      <w:sz w:val="20"/>
    </w:rPr>
  </w:style>
  <w:style w:type="paragraph" w:styleId="Standard" w:customStyle="1">
    <w:name w:val="Standard"/>
    <w:qFormat/>
    <w:pPr>
      <w:widowControl/>
      <w:suppressAutoHyphens w:val="true"/>
      <w:bidi w:val="0"/>
      <w:spacing w:before="0" w:after="0"/>
      <w:jc w:val="left"/>
    </w:pPr>
    <w:rPr>
      <w:rFonts w:ascii="Times New Roman" w:hAnsi="Times New Roman" w:eastAsia="SimSun" w:cs="Times New Roman"/>
      <w:color w:val="000000"/>
      <w:kern w:val="2"/>
      <w:sz w:val="20"/>
      <w:szCs w:val="20"/>
      <w:lang w:val="es-ES" w:eastAsia="zh-CN" w:bidi="hi-IN"/>
    </w:rPr>
  </w:style>
  <w:style w:type="paragraph" w:styleId="Caption1111" w:customStyle="1">
    <w:name w:val="caption1111"/>
    <w:basedOn w:val="Normal"/>
    <w:qFormat/>
    <w:pPr>
      <w:suppressLineNumbers/>
      <w:spacing w:before="120" w:after="120"/>
    </w:pPr>
    <w:rPr>
      <w:i/>
      <w:iCs/>
    </w:rPr>
  </w:style>
  <w:style w:type="paragraph" w:styleId="TableParagraph" w:customStyle="1">
    <w:name w:val="Table Paragraph"/>
    <w:basedOn w:val="Normal"/>
    <w:qFormat/>
    <w:pPr>
      <w:spacing w:before="16" w:after="0"/>
      <w:ind w:left="107"/>
    </w:pPr>
    <w:rPr>
      <w:rFonts w:ascii="Calibri" w:hAnsi="Calibri" w:eastAsia="Calibri" w:cs="Calibri"/>
    </w:rPr>
  </w:style>
  <w:style w:type="paragraph" w:styleId="Lneahorizontal" w:customStyle="1">
    <w:name w:val="Línea horizontal"/>
    <w:basedOn w:val="Normal"/>
    <w:next w:val="BodyText"/>
    <w:qFormat/>
    <w:pPr>
      <w:suppressLineNumbers/>
      <w:pBdr>
        <w:bottom w:val="double" w:sz="2" w:space="0" w:color="808080"/>
      </w:pBdr>
      <w:spacing w:before="0" w:after="283"/>
    </w:pPr>
    <w:rPr>
      <w:sz w:val="12"/>
      <w:szCs w:val="12"/>
    </w:rPr>
  </w:style>
  <w:style w:type="paragraph" w:styleId="P1">
    <w:name w:val="p1"/>
    <w:basedOn w:val="Normal"/>
    <w:qFormat/>
    <w:pPr/>
    <w:rPr>
      <w:rFonts w:ascii="Arial" w:hAnsi="Arial" w:eastAsia="Times New Roman" w:cs="Arial"/>
      <w:color w:val="00000A"/>
      <w:sz w:val="14"/>
      <w:szCs w:val="14"/>
      <w:lang w:eastAsia="es-ES_tradnl"/>
    </w:rPr>
  </w:style>
  <w:style w:type="numbering" w:styleId="NoList" w:default="1">
    <w:name w:val="No List"/>
    <w:uiPriority w:val="99"/>
    <w:semiHidden/>
    <w:unhideWhenUsed/>
    <w:qFormat/>
  </w:style>
  <w:style w:type="numbering" w:styleId="WW8Num71" w:customStyle="1">
    <w:name w:val="WW8Num71"/>
    <w:qFormat/>
  </w:style>
  <w:style w:type="table" w:default="1" w:styleId="Tabla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82</TotalTime>
  <Application>LibreOffice/7.6.7.2$Windows_X86_64 LibreOffice_project/dd47e4b30cb7dab30588d6c79c651f218165e3c5</Application>
  <AppVersion>15.0000</AppVersion>
  <Pages>2</Pages>
  <Words>583</Words>
  <Characters>3293</Characters>
  <CharactersWithSpaces>3867</CharactersWithSpaces>
  <Paragraphs>13</Paragraphs>
  <Company>Aytojerez</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2026-08-07T10:22:00Z</dcterms:created>
  <dc:creator>framirez</dc:creator>
  <dc:description/>
  <dc:language>es-ES</dc:language>
  <cp:lastModifiedBy/>
  <cp:lastPrinted>2026-01-05T09:55:00Z</cp:lastPrinted>
  <dcterms:modified xsi:type="dcterms:W3CDTF">2026-08-13T08:51:13Z</dcterms:modified>
  <cp:revision>19</cp:revision>
  <dc:subject/>
  <dc:title>«tipo_expediente»«tipo_expediente»</dc:title>
</cp:coreProperties>
</file>

<file path=docProps/custom.xml><?xml version="1.0" encoding="utf-8"?>
<Properties xmlns="http://schemas.openxmlformats.org/officeDocument/2006/custom-properties" xmlns:vt="http://schemas.openxmlformats.org/officeDocument/2006/docPropsVTypes"/>
</file>