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Narrow" w:hAnsi="Arial Narrow"/>
          <w:sz w:val="40"/>
          <w:szCs w:val="40"/>
        </w:rPr>
      </w:pPr>
      <w:r>
        <w:rPr>
          <w:rFonts w:ascii="Arial Narrow" w:hAnsi="Arial Narrow"/>
          <w:b/>
          <w:bCs/>
          <w:sz w:val="40"/>
          <w:szCs w:val="40"/>
        </w:rPr>
        <w:t>La alcaldesa de Jerez resalta en Expoconstruye el potencial de la ciudad para convertirse en un referente andaluz en vivienda protegida</w:t>
      </w:r>
    </w:p>
    <w:p>
      <w:pPr>
        <w:pStyle w:val="Normal"/>
        <w:jc w:val="both"/>
        <w:rPr>
          <w:rFonts w:ascii="Arial Narrow" w:hAnsi="Arial Narrow"/>
          <w:b/>
          <w:bCs/>
          <w:sz w:val="26"/>
          <w:szCs w:val="26"/>
        </w:rPr>
      </w:pPr>
      <w:r>
        <w:rPr>
          <w:rFonts w:ascii="Arial Narrow" w:hAnsi="Arial Narrow"/>
          <w:b/>
          <w:bCs/>
          <w:sz w:val="26"/>
          <w:szCs w:val="26"/>
        </w:rPr>
      </w:r>
    </w:p>
    <w:p>
      <w:pPr>
        <w:pStyle w:val="Normal"/>
        <w:rPr/>
      </w:pPr>
      <w:r>
        <w:rPr>
          <w:rStyle w:val="Strong"/>
          <w:rFonts w:ascii="Arial Narrow" w:hAnsi="Arial Narrow"/>
          <w:b w:val="false"/>
          <w:bCs w:val="false"/>
          <w:sz w:val="32"/>
          <w:szCs w:val="32"/>
        </w:rPr>
        <w:t>María José García-Pelayo subraya la importancia del esfuerzo conjunto entre administraciones y promotores para facilitar nuevos desarrollos residenciales y movilizar suelo finalista con el fin de ampliar la oferta residencial y dar respuesta a la necesidad de vivienda asequible</w:t>
      </w:r>
    </w:p>
    <w:p>
      <w:pPr>
        <w:pStyle w:val="Normal"/>
        <w:rPr>
          <w:rStyle w:val="Strong"/>
          <w:rFonts w:ascii="Arial Narrow" w:hAnsi="Arial Narrow"/>
          <w:b w:val="false"/>
          <w:bCs w:val="false"/>
          <w:sz w:val="32"/>
          <w:szCs w:val="32"/>
        </w:rPr>
      </w:pPr>
      <w:r>
        <w:rPr>
          <w:rFonts w:ascii="Arial Narrow" w:hAnsi="Arial Narrow"/>
          <w:b w:val="false"/>
          <w:bCs w:val="false"/>
          <w:sz w:val="32"/>
          <w:szCs w:val="32"/>
        </w:rPr>
      </w:r>
    </w:p>
    <w:p>
      <w:pPr>
        <w:pStyle w:val="Normal"/>
        <w:rPr>
          <w:rStyle w:val="Strong"/>
          <w:rFonts w:ascii="Arial Narrow" w:hAnsi="Arial Narrow"/>
          <w:b w:val="false"/>
          <w:bCs w:val="false"/>
          <w:sz w:val="32"/>
          <w:szCs w:val="32"/>
        </w:rPr>
      </w:pPr>
      <w:r>
        <w:rPr>
          <w:rFonts w:ascii="Arial Narrow" w:hAnsi="Arial Narrow"/>
          <w:b w:val="false"/>
          <w:bCs w:val="false"/>
          <w:sz w:val="32"/>
          <w:szCs w:val="32"/>
        </w:rPr>
      </w:r>
    </w:p>
    <w:p>
      <w:pPr>
        <w:pStyle w:val="Normal"/>
        <w:jc w:val="both"/>
        <w:rPr/>
      </w:pPr>
      <w:r>
        <w:rPr>
          <w:rStyle w:val="Strong"/>
          <w:rFonts w:ascii="Arial Narrow" w:hAnsi="Arial Narrow"/>
          <w:sz w:val="26"/>
          <w:szCs w:val="26"/>
        </w:rPr>
        <w:t xml:space="preserve">14 de octubre de 2026. </w:t>
      </w:r>
      <w:r>
        <w:rPr>
          <w:rFonts w:ascii="Arial Narrow" w:hAnsi="Arial Narrow"/>
          <w:sz w:val="26"/>
          <w:szCs w:val="26"/>
        </w:rPr>
        <w:t xml:space="preserve">La alcaldesa de Jerez, María José García-Pelayo, ha participado en la inauguración de la sexta edición de Expoconstruye, la Feria Profesional de la Construcción de Andalucía, donde ha reafirmado el compromiso del Gobierno municipal con el impulso de la vivienda protegida y asequible, la puesta a disposición de suelo para nuevos desarrollos residenciales y la colaboración entre administraciones y empresas para facilitar el acceso a una vivienda. </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La alcaldesa ha intervenido en este acto junto con el consejero de Fomento y Movilidad, Mario Muñoz-Atanet; la consejera de Vivienda, Juventud y Ordenación del Territorio, Rocío Díaz Jiménez; el presidente de ASPRICA, José García; el presidente de APECOP, José Castellano; el presidente de FAEC, Manuel Ávila; el presidente de la CEC, José Andrés Santos; el presidente de Fadeco-Promotores, Ignacio Peinado; el presidente de Fadeco-Contratistas, Rafael Sánchez Alcalá; y el presidente de la Confederación Nacional de la Construcción, Pedro Fernández. </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Durante su intervención, la alcaldesa ha señalado que </w:t>
      </w:r>
      <w:r>
        <w:rPr>
          <w:rStyle w:val="Strong"/>
          <w:rFonts w:ascii="Arial Narrow" w:hAnsi="Arial Narrow"/>
          <w:b w:val="false"/>
          <w:bCs w:val="false"/>
          <w:sz w:val="26"/>
          <w:szCs w:val="26"/>
        </w:rPr>
        <w:t>la vivienda constituye una de las principales prioridades de su equipo de Gobierno</w:t>
      </w:r>
      <w:r>
        <w:rPr>
          <w:rFonts w:ascii="Arial Narrow" w:hAnsi="Arial Narrow"/>
          <w:sz w:val="26"/>
          <w:szCs w:val="26"/>
        </w:rPr>
        <w:t>, que está trabajando para incrementar la oferta residencial, tanto protegida como asequible, favorecer la recuperación de residentes en el centro histórico y garantizar la rehabilitación y conservación del parque municipal de viviendas.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En este sentido, María José García-Pelayo ha defendido la importancia de facilitar la actividad del sector de la construcción y de impulsar proyectos que permitan transformar el suelo disponible en nuevas oportunidades residenciales para las familias jerezanas. Para ello, ha destacado la necesidad de seguir avanzando de la mano de las distintas administraciones públicas y de la iniciativa privada, reduciendo las trabas administrativas y generando condiciones favorables para la inversión.</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La alcaldesa ha agradecido a los organizadores de Expoconstruye su apuesta por Jerez y ha puesto en valor la evolución de esta iniciativa, convertida hoy en una de las principales citas profesionales de la construcción en Andalucía. La Feria llega a su sexta edición con una superficie expositiva superior a los 4.000 metros cuadrados, más de un centenar de marcas y una previsión de asistencia que supera las 5.000 personas.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b/>
          <w:bCs/>
          <w:sz w:val="26"/>
          <w:szCs w:val="26"/>
        </w:rPr>
      </w:pPr>
      <w:r>
        <w:rPr>
          <w:rFonts w:ascii="Arial Narrow" w:hAnsi="Arial Narrow"/>
          <w:b/>
          <w:bCs/>
          <w:sz w:val="26"/>
          <w:szCs w:val="26"/>
        </w:rPr>
        <w:t>Seis bolsas de suelo para impulsar la vivienda protegida y asequible</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En el apartado dedicado a la política municipal de vivienda, María José García-Pelayo ha destacado que Jerez ha sido uno de los primeros municipios en adherirse al Decreto-ley 1/2025 de la Junta de Andalucía, una decisión que ha permitido activar </w:t>
      </w:r>
      <w:r>
        <w:rPr>
          <w:rStyle w:val="Strong"/>
          <w:rFonts w:ascii="Arial Narrow" w:hAnsi="Arial Narrow"/>
          <w:b w:val="false"/>
          <w:bCs w:val="false"/>
          <w:sz w:val="26"/>
          <w:szCs w:val="26"/>
        </w:rPr>
        <w:t>seis bolsas de suelo destinadas a favorecer la construcción de nuevas viviendas</w:t>
      </w:r>
      <w:r>
        <w:rPr>
          <w:rFonts w:ascii="Arial Narrow" w:hAnsi="Arial Narrow"/>
          <w:sz w:val="26"/>
          <w:szCs w:val="26"/>
        </w:rPr>
        <w:t>, tres de titularidad de la Empresa Municipal de la Vivienda, Emuvijesa, y otras tres pertenecientes al Ayuntamiento.</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En el caso de Emuvijesa, estas bolsas corresponden a Pozoalbero así como a los ámbitos de la calle Cristal y El Retiro y respecto a los terrenos municipales, la alcaldesa ha detallado los avances registrados en El Carrascal y La Milagrosa.  A estas iniciativas se suma el impulso de la promoción privada.</w:t>
      </w:r>
      <w:bookmarkStart w:id="0" w:name="_GoBack"/>
      <w:bookmarkEnd w:id="0"/>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Estos proyectos de nuevas promociones, se complementa, según ha explicado la alcaldesa, con los planes que está desarrollando el Gobierno municipal de mejora de los acerados de la ciudad y el Plan de Reasfaltado.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La alcaldesa también se ha referido a la creación de empleo en el sector, </w:t>
      </w:r>
      <w:r>
        <w:rPr>
          <w:rFonts w:eastAsia="Calibri" w:cs="Calibri" w:ascii="Arial Narrow" w:hAnsi="Arial Narrow"/>
          <w:sz w:val="26"/>
          <w:szCs w:val="26"/>
        </w:rPr>
        <w:t>desde junio de 2023, cuando había 2.090 personas del sector de la construcción paradas en Jerez, el crecimiento ha sido de 640 personas</w:t>
      </w:r>
      <w:r>
        <w:rPr>
          <w:rFonts w:eastAsia="Calibri" w:cs="Calibri" w:ascii="Arial Narrow" w:hAnsi="Arial Narrow"/>
          <w:b/>
          <w:sz w:val="26"/>
          <w:szCs w:val="26"/>
        </w:rPr>
        <w:t xml:space="preserve"> </w:t>
      </w:r>
      <w:r>
        <w:rPr>
          <w:rFonts w:eastAsia="Calibri" w:cs="Calibri" w:ascii="Arial Narrow" w:hAnsi="Arial Narrow"/>
          <w:sz w:val="26"/>
          <w:szCs w:val="26"/>
        </w:rPr>
        <w:t>hasta descender el número de parados en 1.450 en septiembre de 2026, por tanto, hablamos de una reducción porcentual de del 30,6 por ciento.</w:t>
      </w:r>
      <w:r>
        <w:rPr>
          <w:rFonts w:eastAsia="Calibri" w:cs="Calibri" w:ascii="Arial Narrow" w:hAnsi="Arial Narrow"/>
          <w:b/>
          <w:sz w:val="26"/>
          <w:szCs w:val="26"/>
        </w:rPr>
        <w:t xml:space="preserve"> </w:t>
      </w:r>
      <w:r>
        <w:rPr>
          <w:rFonts w:ascii="Arial Narrow" w:hAnsi="Arial Narrow"/>
          <w:sz w:val="26"/>
          <w:szCs w:val="26"/>
        </w:rPr>
        <w:t xml:space="preserve"> </w:t>
      </w:r>
      <w:r>
        <w:rPr>
          <w:rFonts w:eastAsia="Calibri" w:cs="Calibri" w:ascii="Arial Narrow" w:hAnsi="Arial Narrow"/>
          <w:sz w:val="26"/>
          <w:szCs w:val="26"/>
        </w:rPr>
        <w:t>Esta creación de empleo viene emparejada con la creación de nuevas empresas vinculadas al sector de la construcción hasta tener nuestra ciudad, en septiembre de 2026 un total de 509.</w:t>
      </w:r>
    </w:p>
    <w:p>
      <w:pPr>
        <w:pStyle w:val="Normal"/>
        <w:jc w:val="both"/>
        <w:rPr>
          <w:rFonts w:ascii="Arial Narrow" w:hAnsi="Arial Narrow"/>
          <w:b/>
          <w:bCs/>
          <w:sz w:val="26"/>
          <w:szCs w:val="26"/>
        </w:rPr>
      </w:pPr>
      <w:r>
        <w:rPr>
          <w:rFonts w:ascii="Arial Narrow" w:hAnsi="Arial Narrow"/>
          <w:b/>
          <w:bCs/>
          <w:sz w:val="26"/>
          <w:szCs w:val="26"/>
        </w:rPr>
      </w:r>
    </w:p>
    <w:p>
      <w:pPr>
        <w:pStyle w:val="Normal"/>
        <w:jc w:val="both"/>
        <w:rPr>
          <w:rFonts w:ascii="Arial Narrow" w:hAnsi="Arial Narrow"/>
          <w:sz w:val="26"/>
          <w:szCs w:val="26"/>
        </w:rPr>
      </w:pPr>
      <w:r>
        <w:rPr>
          <w:rFonts w:ascii="Arial Narrow" w:hAnsi="Arial Narrow"/>
          <w:b/>
          <w:bCs/>
          <w:sz w:val="26"/>
          <w:szCs w:val="26"/>
        </w:rPr>
        <w:t>Colaboración con la Junta y la Diputación para ampliar la oferta de vivienda</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La alcaldesa ha insistido en que dar respuesta a las necesidades de vivienda requiere un esfuerzo compartido y una colaboración permanente entre las administraciones públicas y el sector empresarial. En este contexto, ha valorado la apuesta de la Junta de Andalucía por Jerez, cuyo Plan de Enajenación 2026 identifica 16 parcelas en la ciudad con capacidad proyectada para construir </w:t>
      </w:r>
      <w:r>
        <w:rPr>
          <w:rStyle w:val="Strong"/>
          <w:rFonts w:ascii="Arial Narrow" w:hAnsi="Arial Narrow"/>
          <w:b w:val="false"/>
          <w:bCs w:val="false"/>
          <w:sz w:val="26"/>
          <w:szCs w:val="26"/>
        </w:rPr>
        <w:t>728 viviendas protegidas</w:t>
      </w:r>
      <w:r>
        <w:rPr>
          <w:rFonts w:ascii="Arial Narrow" w:hAnsi="Arial Narrow"/>
          <w:sz w:val="26"/>
          <w:szCs w:val="26"/>
        </w:rPr>
        <w:t>. Además, ha señalado que Guadabajaque ya tiene actuaciones concretas, como la publicación de la licitación de los suelos destinados a la construcción de otras 84 viviendas protegidas.</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En relación a ello, la regidora ha subrayado que estas oportunidades de desarrollo, unidas a las iniciativas municipales y privadas, sitúan a Jerez en una posición destacada para convertirse en una ciudad de referencia en Andalucía en materia de vivienda protegida.</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Igualmente, ha explicado que el Ayuntamiento ha abierto una nueva línea de colaboración con la Empresa Provincial de Vivienda y Suelo de la Diputación de Cádiz para impulsar promociones asequibles, consistente en estudiar la cesión de terrenos de titularidad del Ayuntamiento a esta empresa provincial para hacer posible la construcción de </w:t>
      </w:r>
      <w:r>
        <w:rPr>
          <w:rStyle w:val="Strong"/>
          <w:rFonts w:ascii="Arial Narrow" w:hAnsi="Arial Narrow"/>
          <w:b w:val="false"/>
          <w:bCs w:val="false"/>
          <w:sz w:val="26"/>
          <w:szCs w:val="26"/>
        </w:rPr>
        <w:t>en torno a un centenar de nuevas viviendas protegidas</w:t>
      </w:r>
      <w:r>
        <w:rPr>
          <w:rFonts w:ascii="Arial Narrow" w:hAnsi="Arial Narrow"/>
          <w:sz w:val="26"/>
          <w:szCs w:val="26"/>
        </w:rPr>
        <w:t>.</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En esta misma línea de cooperación institucional, García-Pelayo ha recordado el impulso dado por el Gobierno municipal a la creación de la Mesa Local por la Vivienda, un órgano de coordinación en el que se pretende contar con la Junta de Andalucía, la Diputación Provincial, el Gobierno de España, los grupos políticos municipales y el Consejo Social de la Ciudad. La constitución de esta Mesa será elevada al próximo Pleno municipal, tal y como ha avanzado.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b/>
          <w:bCs/>
          <w:sz w:val="26"/>
          <w:szCs w:val="26"/>
        </w:rPr>
      </w:pPr>
      <w:r>
        <w:rPr>
          <w:rFonts w:ascii="Arial Narrow" w:hAnsi="Arial Narrow"/>
          <w:b/>
          <w:bCs/>
          <w:sz w:val="26"/>
          <w:szCs w:val="26"/>
        </w:rPr>
        <w:t>Oficina Aceleradora de proyectos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Durante su intervención, la alcaldesa hecho alusión también a la gestión que viene desarrollando la Oficina Aceleradora de Procedimientos de Interés Prioritario, un instrumento municipal que se puso en marcha hace un año para agilizar las tramitaciones administrativas relacionadas con proyectos estratégicos para la ciudad.</w:t>
      </w:r>
    </w:p>
    <w:p>
      <w:pPr>
        <w:pStyle w:val="Normal"/>
        <w:jc w:val="both"/>
        <w:rPr>
          <w:rFonts w:ascii="Arial Narrow" w:hAnsi="Arial Narrow"/>
          <w:sz w:val="26"/>
          <w:szCs w:val="26"/>
        </w:rPr>
      </w:pPr>
      <w:r>
        <w:rPr>
          <w:rFonts w:ascii="Arial Narrow" w:hAnsi="Arial Narrow"/>
          <w:sz w:val="26"/>
          <w:szCs w:val="26"/>
        </w:rPr>
      </w:r>
    </w:p>
    <w:p>
      <w:pPr>
        <w:pStyle w:val="Normal"/>
        <w:jc w:val="both"/>
        <w:rPr/>
      </w:pPr>
      <w:r>
        <w:rPr>
          <w:rFonts w:ascii="Arial Narrow" w:hAnsi="Arial Narrow"/>
          <w:sz w:val="26"/>
          <w:szCs w:val="26"/>
        </w:rPr>
        <w:t xml:space="preserve">En relación a su funcionamiento, la regidora ha realizado un balance satisfactorio de sus resultados y ha explicado que, desde su puesta en marcha, </w:t>
      </w:r>
      <w:r>
        <w:rPr>
          <w:rStyle w:val="Strong"/>
          <w:rFonts w:ascii="Arial Narrow" w:hAnsi="Arial Narrow"/>
          <w:b w:val="false"/>
          <w:bCs w:val="false"/>
          <w:sz w:val="26"/>
          <w:szCs w:val="26"/>
        </w:rPr>
        <w:t>se han incorporado 163 expedientes, de los que 80 ya han sido tramitados</w:t>
      </w:r>
      <w:r>
        <w:rPr>
          <w:rFonts w:ascii="Arial Narrow" w:hAnsi="Arial Narrow"/>
          <w:sz w:val="26"/>
          <w:szCs w:val="26"/>
        </w:rPr>
        <w:t>, mientras que los restantes continúan su curso administrativo, atendiendo a sus características, a la intervención necesaria de organismos externos o a su reciente incorporación.</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La alcaldesa ha destacado que esta oficina constituye una herramienta de especial importancia para favorecer el desarrollo económico de Jerez, reducir los tiempos de tramitación y ofrecer mayor agilidad y seguridad a quienes quieren invertir y desarrollar proyectos en la ciudad, manteniendo las garantías de transparencia administrativa. De esta manera, el Gobierno municipal continúa trabajando para facilitar la actividad económica, desbloquear iniciativas y acelerar proyectos que contribuyan tanto al crecimiento residencial como a la creación de empleo.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Los expedientes incorporados están relacionados principalmente con actuaciones en materia de vivienda, con especial prioridad para las promociones protegidas, así como con proyectos de urbanización destinados a desarrollar nuevos suelos, inversiones generadoras de empleo, desarrollos urbanísticos, legalizaciones de obras, licencias de ocupación e informaciones urbanísticas.</w:t>
      </w:r>
    </w:p>
    <w:p>
      <w:pPr>
        <w:pStyle w:val="Normal"/>
        <w:jc w:val="both"/>
        <w:rPr>
          <w:rFonts w:ascii="Arial Narrow" w:hAnsi="Arial Narrow"/>
          <w:sz w:val="26"/>
          <w:szCs w:val="26"/>
        </w:rPr>
      </w:pPr>
      <w:r>
        <w:rPr>
          <w:rFonts w:ascii="Arial Narrow" w:hAnsi="Arial Narrow"/>
          <w:sz w:val="26"/>
          <w:szCs w:val="26"/>
        </w:rPr>
      </w:r>
    </w:p>
    <w:p>
      <w:pPr>
        <w:pStyle w:val="Normal"/>
        <w:jc w:val="both"/>
        <w:rPr>
          <w:rStyle w:val="Strong"/>
          <w:rFonts w:ascii="Arial Narrow" w:hAnsi="Arial Narrow"/>
          <w:b w:val="false"/>
          <w:bCs w:val="false"/>
          <w:sz w:val="26"/>
          <w:szCs w:val="26"/>
        </w:rPr>
      </w:pPr>
      <w:r>
        <w:rPr>
          <w:rFonts w:ascii="Arial Narrow" w:hAnsi="Arial Narrow"/>
          <w:sz w:val="26"/>
          <w:szCs w:val="26"/>
        </w:rPr>
        <w:t>Para finalizar, García-Pelayo ha reiterado su agradecimiento a los organizadores, empresas, entidades colaboradoras y profesionales que participan en Expoconstruye, destacando que la consolidación de esta feria demuestra la capacidad de Jerez para acoger encuentros empresariales de referencia y generar espacios de colaboración en torno a uno de los sectores estratégicos para la economía.</w:t>
      </w:r>
    </w:p>
    <w:p>
      <w:pPr>
        <w:pStyle w:val="Normal"/>
        <w:jc w:val="both"/>
        <w:rPr>
          <w:rStyle w:val="Strong"/>
          <w:rFonts w:ascii="Arial Narrow" w:hAnsi="Arial Narrow"/>
          <w:b w:val="false"/>
          <w:bCs w:val="false"/>
          <w:sz w:val="26"/>
          <w:szCs w:val="26"/>
        </w:rPr>
      </w:pPr>
      <w:r>
        <w:rPr>
          <w:rFonts w:ascii="Arial Narrow" w:hAnsi="Arial Narrow"/>
          <w:b w:val="false"/>
          <w:bCs w:val="false"/>
          <w:sz w:val="26"/>
          <w:szCs w:val="26"/>
        </w:rPr>
      </w:r>
    </w:p>
    <w:p>
      <w:pPr>
        <w:pStyle w:val="Normal"/>
        <w:jc w:val="both"/>
        <w:rPr>
          <w:rStyle w:val="Strong"/>
          <w:rFonts w:ascii="Arial Narrow" w:hAnsi="Arial Narrow"/>
          <w:b w:val="false"/>
          <w:bCs w:val="false"/>
          <w:i/>
          <w:i/>
          <w:iCs/>
          <w:sz w:val="26"/>
          <w:szCs w:val="26"/>
        </w:rPr>
      </w:pPr>
      <w:r>
        <w:rPr>
          <w:rStyle w:val="Strong"/>
          <w:rFonts w:ascii="Arial Narrow" w:hAnsi="Arial Narrow"/>
          <w:b w:val="false"/>
          <w:bCs w:val="false"/>
          <w:i/>
          <w:iCs/>
          <w:sz w:val="26"/>
          <w:szCs w:val="26"/>
        </w:rPr>
        <w:t>(Se adjunta fotografía y enlace de audio:</w:t>
      </w:r>
    </w:p>
    <w:p>
      <w:pPr>
        <w:pStyle w:val="Normal"/>
        <w:jc w:val="both"/>
        <w:rPr>
          <w:rStyle w:val="Strong"/>
          <w:rFonts w:ascii="Arial Narrow" w:hAnsi="Arial Narrow"/>
          <w:b w:val="false"/>
          <w:bCs w:val="false"/>
          <w:i/>
          <w:i/>
          <w:iCs/>
          <w:sz w:val="26"/>
          <w:szCs w:val="26"/>
        </w:rPr>
      </w:pPr>
      <w:r>
        <w:rPr>
          <w:rFonts w:ascii="Arial Narrow" w:hAnsi="Arial Narrow"/>
          <w:b w:val="false"/>
          <w:bCs w:val="false"/>
          <w:i/>
          <w:iCs/>
          <w:sz w:val="26"/>
          <w:szCs w:val="26"/>
        </w:rPr>
      </w:r>
    </w:p>
    <w:p>
      <w:pPr>
        <w:pStyle w:val="Normal"/>
        <w:jc w:val="both"/>
        <w:rPr/>
      </w:pPr>
      <w:hyperlink r:id="rId2">
        <w:r>
          <w:rPr>
            <w:rStyle w:val="Hyperlink"/>
          </w:rPr>
          <w:t>https://almacen.redsara.es/sending/public/d16f794b-4689-453e-b2b8-273bda666b73</w:t>
        </w:r>
      </w:hyperlink>
    </w:p>
    <w:p>
      <w:pPr>
        <w:pStyle w:val="Normal"/>
        <w:jc w:val="both"/>
        <w:rPr/>
      </w:pPr>
      <w:r>
        <w:rPr/>
      </w:r>
    </w:p>
    <w:p>
      <w:pPr>
        <w:pStyle w:val="Normal"/>
        <w:jc w:val="both"/>
        <w:rPr/>
      </w:pPr>
      <w:r>
        <w:rPr/>
      </w:r>
    </w:p>
    <w:p>
      <w:pPr>
        <w:pStyle w:val="Normal"/>
        <w:jc w:val="both"/>
        <w:rPr>
          <w:rFonts w:ascii="Arial Narrow" w:hAnsi="Arial Narrow"/>
          <w:sz w:val="26"/>
          <w:szCs w:val="26"/>
        </w:rPr>
      </w:pPr>
      <w:r>
        <w:rPr>
          <w:rFonts w:ascii="Arial Narrow" w:hAnsi="Arial Narrow"/>
          <w:sz w:val="26"/>
          <w:szCs w:val="26"/>
        </w:rPr>
      </w:r>
    </w:p>
    <w:sectPr>
      <w:headerReference w:type="default" r:id="rId3"/>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Microsoft YaHei">
    <w:charset w:val="00"/>
    <w:family w:val="roman"/>
    <w:pitch w:val="variable"/>
  </w:font>
  <w:font w:name="OpenSymbol">
    <w:altName w:val="Arial Unicode MS"/>
    <w:charset w:val="00"/>
    <w:family w:val="roman"/>
    <w:pitch w:val="variable"/>
  </w:font>
  <w:font w:name="Consola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Georgia">
    <w:charset w:val="00"/>
    <w:family w:val="roman"/>
    <w:pitch w:val="variable"/>
  </w:font>
  <w:font w:name="Aptos Display">
    <w:charset w:val="00"/>
    <w:family w:val="swiss"/>
    <w:pitch w:val="variable"/>
  </w:font>
  <w:font w:name="Arial Narrow">
    <w:charset w:val="00"/>
    <w:family w:val="roman"/>
    <w:pitch w:val="variable"/>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80"/>
        </w:tabs>
        <w:ind w:left="7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780"/>
        </w:tabs>
        <w:ind w:left="78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30"/>
  <w:defaultTabStop w:val="708"/>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3">
    <w:name w:val="Heading 3"/>
    <w:basedOn w:val="Normal1"/>
    <w:next w:val="Normal1"/>
    <w:qFormat/>
    <w:pPr>
      <w:keepNext w:val="true"/>
      <w:spacing w:before="140" w:after="120"/>
      <w:outlineLvl w:val="2"/>
    </w:pPr>
    <w:rPr>
      <w:rFonts w:ascii="Liberation Serif" w:hAnsi="Liberation Serif" w:eastAsia="Liberation Serif" w:cs="Liberation Serif"/>
      <w:b/>
      <w:bCs/>
      <w:sz w:val="28"/>
      <w:szCs w:val="28"/>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paragraph" w:styleId="Heading5">
    <w:name w:val="Heading 5"/>
    <w:basedOn w:val="Normal1"/>
    <w:next w:val="Normal1"/>
    <w:qFormat/>
    <w:pPr>
      <w:keepNext w:val="true"/>
      <w:keepLines/>
      <w:spacing w:before="220" w:after="40"/>
      <w:outlineLvl w:val="4"/>
    </w:pPr>
    <w:rPr>
      <w:b/>
      <w:bCs/>
      <w:sz w:val="22"/>
      <w:szCs w:val="22"/>
    </w:rPr>
  </w:style>
  <w:style w:type="paragraph" w:styleId="Heading6">
    <w:name w:val="Heading 6"/>
    <w:basedOn w:val="Normal1"/>
    <w:next w:val="Normal1"/>
    <w:qFormat/>
    <w:pPr>
      <w:keepNext w:val="true"/>
      <w:keepLines/>
      <w:spacing w:before="200" w:after="40"/>
      <w:outlineLvl w:val="5"/>
    </w:pPr>
    <w:rPr>
      <w:b/>
      <w:bCs/>
    </w:rPr>
  </w:style>
  <w:style w:type="paragraph" w:styleId="Heading7">
    <w:name w:val="Heading 7"/>
    <w:basedOn w:val="Normal"/>
    <w:next w:val="BodyText"/>
    <w:qFormat/>
    <w:pPr>
      <w:spacing w:before="40" w:after="0"/>
      <w:outlineLvl w:val="6"/>
    </w:pPr>
    <w:rPr>
      <w:rFonts w:ascii="Microsoft YaHei" w:hAnsi="Microsoft YaHei" w:eastAsia="Arial" w:cs="Microsoft YaHei"/>
      <w:color w:themeColor="text1" w:val="000000"/>
    </w:rPr>
  </w:style>
  <w:style w:type="paragraph" w:styleId="Heading8">
    <w:name w:val="Heading 8"/>
    <w:basedOn w:val="Normal"/>
    <w:next w:val="BodyText"/>
    <w:qFormat/>
    <w:pPr>
      <w:outlineLvl w:val="7"/>
    </w:pPr>
    <w:rPr>
      <w:rFonts w:eastAsia="Arial" w:cs="DejaVu Sans"/>
      <w:iCs/>
      <w:color w:themeColor="text1" w:val="000000"/>
    </w:rPr>
  </w:style>
  <w:style w:type="paragraph" w:styleId="Heading9">
    <w:name w:val="Heading 9"/>
    <w:basedOn w:val="Normal"/>
    <w:next w:val="BodyText"/>
    <w:qFormat/>
    <w:pPr>
      <w:outlineLvl w:val="8"/>
    </w:pPr>
    <w:rPr>
      <w:rFonts w:eastAsia="Arial" w:cs="DejaVu Sans"/>
      <w:color w:themeColor="dark1" w:themeTint="d8" w:val="272727"/>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character" w:styleId="NormalTok" w:customStyle="1">
    <w:name w:val="NormalTok"/>
    <w:basedOn w:val="VerbatimChar"/>
    <w:qFormat/>
    <w:rPr>
      <w:rFonts w:ascii="Consolas" w:hAnsi="Consolas" w:eastAsia="Arial" w:cs="Times New Roman (正文 CS 字体)"/>
      <w:sz w:val="22"/>
      <w:shd w:fill="F2F2F2" w:val="clear"/>
    </w:rPr>
  </w:style>
  <w:style w:type="character" w:styleId="ErrorTok" w:customStyle="1">
    <w:name w:val="ErrorTok"/>
    <w:basedOn w:val="VerbatimChar"/>
    <w:qFormat/>
    <w:rPr>
      <w:rFonts w:ascii="Consolas" w:hAnsi="Consolas" w:eastAsia="Arial" w:cs="Times New Roman (正文 CS 字体)"/>
      <w:b/>
      <w:color w:val="FF0000"/>
      <w:sz w:val="22"/>
      <w:shd w:fill="F2F2F2" w:val="clear"/>
    </w:rPr>
  </w:style>
  <w:style w:type="character" w:styleId="AlertTok" w:customStyle="1">
    <w:name w:val="AlertTok"/>
    <w:basedOn w:val="VerbatimChar"/>
    <w:qFormat/>
    <w:rPr>
      <w:rFonts w:ascii="Consolas" w:hAnsi="Consolas" w:eastAsia="Arial" w:cs="Times New Roman (正文 CS 字体)"/>
      <w:b/>
      <w:color w:val="FF0000"/>
      <w:sz w:val="22"/>
      <w:shd w:fill="F2F2F2" w:val="clear"/>
    </w:rPr>
  </w:style>
  <w:style w:type="character" w:styleId="WarningTok" w:customStyle="1">
    <w:name w:val="WarningTok"/>
    <w:basedOn w:val="VerbatimChar"/>
    <w:qFormat/>
    <w:rPr>
      <w:rFonts w:ascii="Consolas" w:hAnsi="Consolas" w:eastAsia="Arial" w:cs="Times New Roman (正文 CS 字体)"/>
      <w:b/>
      <w:i/>
      <w:color w:val="60A0B0"/>
      <w:sz w:val="22"/>
      <w:shd w:fill="F2F2F2" w:val="clear"/>
    </w:rPr>
  </w:style>
  <w:style w:type="character" w:styleId="InformationTok" w:customStyle="1">
    <w:name w:val="InformationTok"/>
    <w:basedOn w:val="VerbatimChar"/>
    <w:qFormat/>
    <w:rPr>
      <w:rFonts w:ascii="Consolas" w:hAnsi="Consolas" w:eastAsia="Arial" w:cs="Times New Roman (正文 CS 字体)"/>
      <w:b/>
      <w:i/>
      <w:color w:val="60A0B0"/>
      <w:sz w:val="22"/>
      <w:shd w:fill="F2F2F2" w:val="clear"/>
    </w:rPr>
  </w:style>
  <w:style w:type="character" w:styleId="RegionMarkerTok" w:customStyle="1">
    <w:name w:val="RegionMarkerTok"/>
    <w:basedOn w:val="VerbatimChar"/>
    <w:qFormat/>
    <w:rPr>
      <w:rFonts w:ascii="Consolas" w:hAnsi="Consolas" w:eastAsia="Arial" w:cs="Times New Roman (正文 CS 字体)"/>
      <w:sz w:val="22"/>
      <w:shd w:fill="F2F2F2" w:val="clear"/>
    </w:rPr>
  </w:style>
  <w:style w:type="character" w:styleId="AttributeTok" w:customStyle="1">
    <w:name w:val="AttributeTok"/>
    <w:basedOn w:val="VerbatimChar"/>
    <w:qFormat/>
    <w:rPr>
      <w:rFonts w:ascii="Consolas" w:hAnsi="Consolas" w:eastAsia="Arial" w:cs="Times New Roman (正文 CS 字体)"/>
      <w:color w:val="7D9029"/>
      <w:sz w:val="22"/>
      <w:shd w:fill="F2F2F2" w:val="clear"/>
    </w:rPr>
  </w:style>
  <w:style w:type="character" w:styleId="PreprocessorTok" w:customStyle="1">
    <w:name w:val="PreprocessorTok"/>
    <w:basedOn w:val="VerbatimChar"/>
    <w:qFormat/>
    <w:rPr>
      <w:rFonts w:ascii="Consolas" w:hAnsi="Consolas" w:eastAsia="Arial" w:cs="Times New Roman (正文 CS 字体)"/>
      <w:color w:val="BC7A00"/>
      <w:sz w:val="22"/>
      <w:shd w:fill="F2F2F2" w:val="clear"/>
    </w:rPr>
  </w:style>
  <w:style w:type="character" w:styleId="ExtensionTok" w:customStyle="1">
    <w:name w:val="ExtensionTok"/>
    <w:basedOn w:val="VerbatimChar"/>
    <w:qFormat/>
    <w:rPr>
      <w:rFonts w:ascii="Consolas" w:hAnsi="Consolas" w:eastAsia="Arial" w:cs="Times New Roman (正文 CS 字体)"/>
      <w:sz w:val="22"/>
      <w:shd w:fill="F2F2F2" w:val="clear"/>
    </w:rPr>
  </w:style>
  <w:style w:type="character" w:styleId="BuiltInTok" w:customStyle="1">
    <w:name w:val="BuiltInTok"/>
    <w:basedOn w:val="VerbatimChar"/>
    <w:qFormat/>
    <w:rPr>
      <w:rFonts w:ascii="Consolas" w:hAnsi="Consolas" w:eastAsia="Arial" w:cs="Times New Roman (正文 CS 字体)"/>
      <w:color w:val="008000"/>
      <w:sz w:val="22"/>
      <w:shd w:fill="F2F2F2" w:val="clear"/>
    </w:rPr>
  </w:style>
  <w:style w:type="character" w:styleId="OperatorTok" w:customStyle="1">
    <w:name w:val="OperatorTok"/>
    <w:basedOn w:val="VerbatimChar"/>
    <w:qFormat/>
    <w:rPr>
      <w:rFonts w:ascii="Consolas" w:hAnsi="Consolas" w:eastAsia="Arial" w:cs="Times New Roman (正文 CS 字体)"/>
      <w:color w:val="666666"/>
      <w:sz w:val="22"/>
      <w:shd w:fill="F2F2F2" w:val="clear"/>
    </w:rPr>
  </w:style>
  <w:style w:type="character" w:styleId="ControlFlowTok" w:customStyle="1">
    <w:name w:val="ControlFlowTok"/>
    <w:basedOn w:val="VerbatimChar"/>
    <w:qFormat/>
    <w:rPr>
      <w:rFonts w:ascii="Consolas" w:hAnsi="Consolas" w:eastAsia="Arial" w:cs="Times New Roman (正文 CS 字体)"/>
      <w:b/>
      <w:color w:val="007020"/>
      <w:sz w:val="22"/>
      <w:shd w:fill="F2F2F2" w:val="clear"/>
    </w:rPr>
  </w:style>
  <w:style w:type="character" w:styleId="VariableTok" w:customStyle="1">
    <w:name w:val="VariableTok"/>
    <w:basedOn w:val="VerbatimChar"/>
    <w:qFormat/>
    <w:rPr>
      <w:rFonts w:ascii="Consolas" w:hAnsi="Consolas" w:eastAsia="Arial" w:cs="Times New Roman (正文 CS 字体)"/>
      <w:color w:val="19177C"/>
      <w:sz w:val="22"/>
      <w:shd w:fill="F2F2F2" w:val="clear"/>
    </w:rPr>
  </w:style>
  <w:style w:type="character" w:styleId="FunctionTok" w:customStyle="1">
    <w:name w:val="FunctionTok"/>
    <w:basedOn w:val="VerbatimChar"/>
    <w:qFormat/>
    <w:rPr>
      <w:rFonts w:ascii="Consolas" w:hAnsi="Consolas" w:eastAsia="Arial" w:cs="Times New Roman (正文 CS 字体)"/>
      <w:color w:val="06287E"/>
      <w:sz w:val="22"/>
      <w:shd w:fill="F2F2F2" w:val="clear"/>
    </w:rPr>
  </w:style>
  <w:style w:type="character" w:styleId="OtherTok" w:customStyle="1">
    <w:name w:val="OtherTok"/>
    <w:basedOn w:val="VerbatimChar"/>
    <w:qFormat/>
    <w:rPr>
      <w:rFonts w:ascii="Consolas" w:hAnsi="Consolas" w:eastAsia="Arial" w:cs="Times New Roman (正文 CS 字体)"/>
      <w:color w:val="007020"/>
      <w:sz w:val="22"/>
      <w:shd w:fill="F2F2F2" w:val="clear"/>
    </w:rPr>
  </w:style>
  <w:style w:type="character" w:styleId="CommentVarTok" w:customStyle="1">
    <w:name w:val="CommentVarTok"/>
    <w:basedOn w:val="VerbatimChar"/>
    <w:qFormat/>
    <w:rPr>
      <w:rFonts w:ascii="Consolas" w:hAnsi="Consolas" w:eastAsia="Arial" w:cs="Times New Roman (正文 CS 字体)"/>
      <w:b/>
      <w:i/>
      <w:color w:val="60A0B0"/>
      <w:sz w:val="22"/>
      <w:shd w:fill="F2F2F2" w:val="clear"/>
    </w:rPr>
  </w:style>
  <w:style w:type="character" w:styleId="AnnotationTok" w:customStyle="1">
    <w:name w:val="AnnotationTok"/>
    <w:basedOn w:val="VerbatimChar"/>
    <w:qFormat/>
    <w:rPr>
      <w:rFonts w:ascii="Consolas" w:hAnsi="Consolas" w:eastAsia="Arial" w:cs="Times New Roman (正文 CS 字体)"/>
      <w:b/>
      <w:i/>
      <w:color w:val="60A0B0"/>
      <w:sz w:val="22"/>
      <w:shd w:fill="F2F2F2" w:val="clear"/>
    </w:rPr>
  </w:style>
  <w:style w:type="character" w:styleId="DocumentationTok" w:customStyle="1">
    <w:name w:val="DocumentationTok"/>
    <w:basedOn w:val="VerbatimChar"/>
    <w:qFormat/>
    <w:rPr>
      <w:rFonts w:ascii="Consolas" w:hAnsi="Consolas" w:eastAsia="Arial" w:cs="Times New Roman (正文 CS 字体)"/>
      <w:i/>
      <w:color w:val="BA2121"/>
      <w:sz w:val="22"/>
      <w:shd w:fill="F2F2F2" w:val="clear"/>
    </w:rPr>
  </w:style>
  <w:style w:type="character" w:styleId="CommentTok" w:customStyle="1">
    <w:name w:val="CommentTok"/>
    <w:basedOn w:val="VerbatimChar"/>
    <w:qFormat/>
    <w:rPr>
      <w:rFonts w:ascii="Consolas" w:hAnsi="Consolas" w:eastAsia="Arial" w:cs="Times New Roman (正文 CS 字体)"/>
      <w:i/>
      <w:color w:val="60A0B0"/>
      <w:sz w:val="22"/>
      <w:shd w:fill="F2F2F2" w:val="clear"/>
    </w:rPr>
  </w:style>
  <w:style w:type="character" w:styleId="ImportTok" w:customStyle="1">
    <w:name w:val="ImportTok"/>
    <w:basedOn w:val="VerbatimChar"/>
    <w:qFormat/>
    <w:rPr>
      <w:rFonts w:ascii="Consolas" w:hAnsi="Consolas" w:eastAsia="Arial" w:cs="Times New Roman (正文 CS 字体)"/>
      <w:b/>
      <w:color w:val="008000"/>
      <w:sz w:val="22"/>
      <w:shd w:fill="F2F2F2" w:val="clear"/>
    </w:rPr>
  </w:style>
  <w:style w:type="character" w:styleId="SpecialStringTok" w:customStyle="1">
    <w:name w:val="SpecialStringTok"/>
    <w:basedOn w:val="VerbatimChar"/>
    <w:qFormat/>
    <w:rPr>
      <w:rFonts w:ascii="Consolas" w:hAnsi="Consolas" w:eastAsia="Arial" w:cs="Times New Roman (正文 CS 字体)"/>
      <w:color w:val="BB6688"/>
      <w:sz w:val="22"/>
      <w:shd w:fill="F2F2F2" w:val="clear"/>
    </w:rPr>
  </w:style>
  <w:style w:type="character" w:styleId="VerbatimStringTok" w:customStyle="1">
    <w:name w:val="VerbatimStringTok"/>
    <w:basedOn w:val="VerbatimChar"/>
    <w:qFormat/>
    <w:rPr>
      <w:rFonts w:ascii="Consolas" w:hAnsi="Consolas" w:eastAsia="Arial" w:cs="Times New Roman (正文 CS 字体)"/>
      <w:color w:val="4070A0"/>
      <w:sz w:val="22"/>
      <w:shd w:fill="F2F2F2" w:val="clear"/>
    </w:rPr>
  </w:style>
  <w:style w:type="character" w:styleId="StringTok" w:customStyle="1">
    <w:name w:val="StringTok"/>
    <w:basedOn w:val="VerbatimChar"/>
    <w:qFormat/>
    <w:rPr>
      <w:rFonts w:ascii="Consolas" w:hAnsi="Consolas" w:eastAsia="Arial" w:cs="Times New Roman (正文 CS 字体)"/>
      <w:color w:val="4070A0"/>
      <w:sz w:val="22"/>
      <w:shd w:fill="F2F2F2" w:val="clear"/>
    </w:rPr>
  </w:style>
  <w:style w:type="character" w:styleId="SpecialCharTok" w:customStyle="1">
    <w:name w:val="SpecialCharTok"/>
    <w:basedOn w:val="VerbatimChar"/>
    <w:qFormat/>
    <w:rPr>
      <w:rFonts w:ascii="Consolas" w:hAnsi="Consolas" w:eastAsia="Arial" w:cs="Times New Roman (正文 CS 字体)"/>
      <w:color w:val="4070A0"/>
      <w:sz w:val="22"/>
      <w:shd w:fill="F2F2F2" w:val="clear"/>
    </w:rPr>
  </w:style>
  <w:style w:type="character" w:styleId="CharTok" w:customStyle="1">
    <w:name w:val="CharTok"/>
    <w:basedOn w:val="VerbatimChar"/>
    <w:qFormat/>
    <w:rPr>
      <w:rFonts w:ascii="Consolas" w:hAnsi="Consolas" w:eastAsia="Arial" w:cs="Times New Roman (正文 CS 字体)"/>
      <w:color w:val="4070A0"/>
      <w:sz w:val="22"/>
      <w:shd w:fill="F2F2F2" w:val="clear"/>
    </w:rPr>
  </w:style>
  <w:style w:type="character" w:styleId="ConstantTok" w:customStyle="1">
    <w:name w:val="ConstantTok"/>
    <w:basedOn w:val="VerbatimChar"/>
    <w:qFormat/>
    <w:rPr>
      <w:rFonts w:ascii="Consolas" w:hAnsi="Consolas" w:eastAsia="Arial" w:cs="Times New Roman (正文 CS 字体)"/>
      <w:color w:val="880000"/>
      <w:sz w:val="22"/>
      <w:shd w:fill="F2F2F2" w:val="clear"/>
    </w:rPr>
  </w:style>
  <w:style w:type="character" w:styleId="FloatTok" w:customStyle="1">
    <w:name w:val="FloatTok"/>
    <w:basedOn w:val="VerbatimChar"/>
    <w:qFormat/>
    <w:rPr>
      <w:rFonts w:ascii="Consolas" w:hAnsi="Consolas" w:eastAsia="Arial" w:cs="Times New Roman (正文 CS 字体)"/>
      <w:color w:val="40A070"/>
      <w:sz w:val="22"/>
      <w:shd w:fill="F2F2F2" w:val="clear"/>
    </w:rPr>
  </w:style>
  <w:style w:type="character" w:styleId="BaseNTok" w:customStyle="1">
    <w:name w:val="BaseNTok"/>
    <w:basedOn w:val="VerbatimChar"/>
    <w:qFormat/>
    <w:rPr>
      <w:rFonts w:ascii="Consolas" w:hAnsi="Consolas" w:eastAsia="Arial" w:cs="Times New Roman (正文 CS 字体)"/>
      <w:color w:val="40A070"/>
      <w:sz w:val="22"/>
      <w:shd w:fill="F2F2F2" w:val="clear"/>
    </w:rPr>
  </w:style>
  <w:style w:type="character" w:styleId="DecValTok" w:customStyle="1">
    <w:name w:val="DecValTok"/>
    <w:basedOn w:val="VerbatimChar"/>
    <w:qFormat/>
    <w:rPr>
      <w:rFonts w:ascii="Consolas" w:hAnsi="Consolas" w:eastAsia="Arial" w:cs="Times New Roman (正文 CS 字体)"/>
      <w:color w:val="40A070"/>
      <w:sz w:val="22"/>
      <w:shd w:fill="F2F2F2" w:val="clear"/>
    </w:rPr>
  </w:style>
  <w:style w:type="character" w:styleId="DataTypeTok" w:customStyle="1">
    <w:name w:val="DataTypeTok"/>
    <w:basedOn w:val="VerbatimChar"/>
    <w:qFormat/>
    <w:rPr>
      <w:rFonts w:ascii="Consolas" w:hAnsi="Consolas" w:eastAsia="Arial" w:cs="Times New Roman (正文 CS 字体)"/>
      <w:color w:val="902000"/>
      <w:sz w:val="22"/>
      <w:shd w:fill="F2F2F2" w:val="clear"/>
    </w:rPr>
  </w:style>
  <w:style w:type="character" w:styleId="KeywordTok" w:customStyle="1">
    <w:name w:val="KeywordTok"/>
    <w:basedOn w:val="VerbatimChar"/>
    <w:qFormat/>
    <w:rPr>
      <w:rFonts w:ascii="Consolas" w:hAnsi="Consolas" w:eastAsia="Arial" w:cs="Times New Roman (正文 CS 字体)"/>
      <w:b/>
      <w:color w:val="007020"/>
      <w:sz w:val="22"/>
      <w:shd w:fill="F2F2F2" w:val="clear"/>
    </w:rPr>
  </w:style>
  <w:style w:type="character" w:styleId="SectionNumber" w:customStyle="1">
    <w:name w:val="Section Number"/>
    <w:basedOn w:val="Style7"/>
    <w:qFormat/>
    <w:rPr/>
  </w:style>
  <w:style w:type="character" w:styleId="VerbatimChar" w:customStyle="1">
    <w:name w:val="Verbatim Char"/>
    <w:basedOn w:val="Style7"/>
    <w:qFormat/>
    <w:rPr>
      <w:rFonts w:ascii="Consolas" w:hAnsi="Consolas" w:eastAsia="Arial" w:cs="Times New Roman (正文 CS 字体)"/>
      <w:sz w:val="22"/>
      <w:shd w:fill="F2F2F2" w:val="clear"/>
    </w:rPr>
  </w:style>
  <w:style w:type="character" w:styleId="9" w:customStyle="1">
    <w:name w:val="标题 9 字符"/>
    <w:basedOn w:val="DefaultParagraphFont"/>
    <w:qFormat/>
    <w:rPr>
      <w:rFonts w:eastAsia="Arial" w:cs="DejaVu Sans"/>
      <w:color w:themeColor="dark1" w:themeTint="d8" w:val="272727"/>
      <w:sz w:val="24"/>
      <w:szCs w:val="24"/>
      <w:lang w:eastAsia="en-US"/>
    </w:rPr>
  </w:style>
  <w:style w:type="character" w:styleId="8" w:customStyle="1">
    <w:name w:val="标题 8 字符"/>
    <w:basedOn w:val="DefaultParagraphFont"/>
    <w:qFormat/>
    <w:rPr>
      <w:rFonts w:eastAsia="Arial" w:cs="DejaVu Sans"/>
      <w:iCs/>
      <w:color w:themeColor="text1" w:val="000000"/>
      <w:sz w:val="24"/>
      <w:szCs w:val="24"/>
      <w:lang w:eastAsia="en-US"/>
    </w:rPr>
  </w:style>
  <w:style w:type="character" w:styleId="7" w:customStyle="1">
    <w:name w:val="标题 7 字符"/>
    <w:basedOn w:val="DefaultParagraphFont"/>
    <w:qFormat/>
    <w:rPr>
      <w:rFonts w:ascii="Microsoft YaHei" w:hAnsi="Microsoft YaHei" w:eastAsia="Arial" w:cs="Microsoft YaHei"/>
      <w:color w:themeColor="text1" w:val="000000"/>
      <w:sz w:val="24"/>
      <w:szCs w:val="24"/>
      <w:lang w:eastAsia="en-US"/>
    </w:rPr>
  </w:style>
  <w:style w:type="character" w:styleId="6" w:customStyle="1">
    <w:name w:val="标题 6 字符"/>
    <w:basedOn w:val="DefaultParagraphFont"/>
    <w:qFormat/>
    <w:rPr>
      <w:rFonts w:ascii="Microsoft YaHei" w:hAnsi="Microsoft YaHei" w:eastAsia="Arial" w:cs="Microsoft YaHei"/>
      <w:color w:themeColor="text1" w:val="000000"/>
      <w:sz w:val="24"/>
      <w:szCs w:val="24"/>
      <w:lang w:eastAsia="en-US"/>
    </w:rPr>
  </w:style>
  <w:style w:type="character" w:styleId="5" w:customStyle="1">
    <w:name w:val="标题 5 字符"/>
    <w:basedOn w:val="DefaultParagraphFont"/>
    <w:qFormat/>
    <w:rPr>
      <w:rFonts w:ascii="Microsoft YaHei" w:hAnsi="Microsoft YaHei" w:eastAsia="Arial" w:cs="Microsoft YaHei"/>
      <w:color w:themeColor="text1" w:val="000000"/>
      <w:sz w:val="24"/>
      <w:szCs w:val="24"/>
      <w:lang w:eastAsia="en-US"/>
    </w:rPr>
  </w:style>
  <w:style w:type="character" w:styleId="4" w:customStyle="1">
    <w:name w:val="标题 4 字符"/>
    <w:basedOn w:val="DefaultParagraphFont"/>
    <w:qFormat/>
    <w:rPr>
      <w:rFonts w:ascii="Arial" w:hAnsi="Arial" w:eastAsia="Arial" w:cs="Arial"/>
      <w:b/>
      <w:color w:themeColor="text1" w:val="000000"/>
      <w:sz w:val="24"/>
      <w:szCs w:val="24"/>
      <w:lang w:eastAsia="en-US"/>
    </w:rPr>
  </w:style>
  <w:style w:type="character" w:styleId="3" w:customStyle="1">
    <w:name w:val="标题 3 字符"/>
    <w:basedOn w:val="DefaultParagraphFont"/>
    <w:qFormat/>
    <w:rPr>
      <w:rFonts w:ascii="Arial" w:hAnsi="Arial" w:eastAsia="Arial" w:cs="Arial"/>
      <w:b/>
      <w:bCs/>
      <w:color w:themeColor="text1" w:val="000000"/>
      <w:sz w:val="28"/>
      <w:szCs w:val="28"/>
      <w:lang w:eastAsia="en-US"/>
    </w:rPr>
  </w:style>
  <w:style w:type="character" w:styleId="2" w:customStyle="1">
    <w:name w:val="标题 2 字符"/>
    <w:basedOn w:val="DefaultParagraphFont"/>
    <w:qFormat/>
    <w:rPr>
      <w:rFonts w:ascii="Arial" w:hAnsi="Arial" w:eastAsia="Arial" w:cs="Arial"/>
      <w:b/>
      <w:bCs/>
      <w:color w:themeColor="text1" w:val="000000"/>
      <w:sz w:val="32"/>
      <w:szCs w:val="32"/>
      <w:lang w:eastAsia="en-US"/>
    </w:rPr>
  </w:style>
  <w:style w:type="character" w:styleId="1" w:customStyle="1">
    <w:name w:val="标题 1 字符"/>
    <w:basedOn w:val="DefaultParagraphFont"/>
    <w:qFormat/>
    <w:rPr>
      <w:rFonts w:ascii="Arial" w:hAnsi="Arial" w:eastAsia="Arial" w:cs="Arial"/>
      <w:b/>
      <w:bCs/>
      <w:color w:themeColor="text1" w:val="000000"/>
      <w:sz w:val="44"/>
      <w:szCs w:val="40"/>
      <w:lang w:eastAsia="en-US"/>
    </w:rPr>
  </w:style>
  <w:style w:type="character" w:styleId="Style5" w:customStyle="1">
    <w:name w:val="副标题 字符"/>
    <w:basedOn w:val="DefaultParagraphFont"/>
    <w:qFormat/>
    <w:rPr>
      <w:rFonts w:eastAsia="DengXian Light" w:cs="DejaVu Sans"/>
      <w:color w:themeColor="dark1" w:themeTint="a6" w:val="595959"/>
      <w:spacing w:val="15"/>
      <w:sz w:val="28"/>
      <w:szCs w:val="28"/>
    </w:rPr>
  </w:style>
  <w:style w:type="character" w:styleId="Style6" w:customStyle="1">
    <w:name w:val="标题 字符"/>
    <w:basedOn w:val="DefaultParagraphFont"/>
    <w:qFormat/>
    <w:rPr>
      <w:rFonts w:ascii="Arial" w:hAnsi="Arial" w:eastAsia="Arial" w:cs="Arial"/>
      <w:spacing w:val="-10"/>
      <w:kern w:val="2"/>
      <w:sz w:val="56"/>
      <w:szCs w:val="56"/>
    </w:rPr>
  </w:style>
  <w:style w:type="character" w:styleId="Caracteresdenotaalpie" w:customStyle="1">
    <w:name w:val="Caracteres de nota al pie"/>
    <w:basedOn w:val="Style7"/>
    <w:qFormat/>
    <w:rPr>
      <w:vertAlign w:val="superscript"/>
    </w:rPr>
  </w:style>
  <w:style w:type="character" w:styleId="FootnoteReference">
    <w:name w:val="Footnote Reference"/>
    <w:rPr>
      <w:vertAlign w:val="superscript"/>
    </w:rPr>
  </w:style>
  <w:style w:type="character" w:styleId="Style7" w:customStyle="1">
    <w:name w:val="题注 字符"/>
    <w:basedOn w:val="DefaultParagraphFont"/>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1" w:customStyle="1">
    <w:name w:val="caption111"/>
    <w:basedOn w:val="Normal"/>
    <w:qFormat/>
    <w:pPr>
      <w:suppressLineNumbers/>
      <w:spacing w:before="120" w:after="120"/>
    </w:pPr>
    <w:rPr>
      <w:rFonts w:cs="Arial"/>
      <w:i/>
      <w:iCs/>
    </w:rPr>
  </w:style>
  <w:style w:type="paragraph" w:styleId="Caption1111" w:customStyle="1">
    <w:name w:val="caption1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uiPriority w:val="34"/>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themeColor="light2" w:themeShade="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11" w:customStyle="1">
    <w:name w:val="caption1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paragraph" w:styleId="P1" w:customStyle="1">
    <w:name w:val="p1"/>
    <w:basedOn w:val="Normal"/>
    <w:qFormat/>
    <w:pPr/>
    <w:rPr>
      <w:rFonts w:ascii="Arial" w:hAnsi="Arial" w:eastAsia="Times New Roman" w:cs="Arial"/>
      <w:color w:val="00000A"/>
      <w:sz w:val="14"/>
      <w:szCs w:val="14"/>
      <w:lang w:eastAsia="es-ES_tradnl"/>
    </w:rPr>
  </w:style>
  <w:style w:type="paragraph" w:styleId="Subtitle">
    <w:name w:val="Subtitle"/>
    <w:basedOn w:val="Normal1"/>
    <w:next w:val="Normal1"/>
    <w:qFormat/>
    <w:pPr>
      <w:keepNext w:val="true"/>
      <w:keepLines/>
      <w:spacing w:before="360" w:after="80"/>
    </w:pPr>
    <w:rPr>
      <w:rFonts w:ascii="Georgia" w:hAnsi="Georgia" w:eastAsia="Georgia" w:cs="Georgia"/>
      <w:i/>
      <w:iCs/>
      <w:color w:val="666666"/>
      <w:sz w:val="48"/>
      <w:szCs w:val="48"/>
    </w:rPr>
  </w:style>
  <w:style w:type="paragraph" w:styleId="Normal1" w:customStyle="1">
    <w:name w:val="normal1"/>
    <w:qFormat/>
    <w:pPr>
      <w:widowControl/>
      <w:suppressAutoHyphens w:val="true"/>
      <w:bidi w:val="0"/>
      <w:spacing w:before="0" w:after="0"/>
      <w:jc w:val="left"/>
    </w:pPr>
    <w:rPr>
      <w:rFonts w:ascii="Times New Roman" w:hAnsi="Times New Roman" w:eastAsia="NSimSun" w:cs="Arial"/>
      <w:color w:val="auto"/>
      <w:kern w:val="0"/>
      <w:sz w:val="20"/>
      <w:szCs w:val="20"/>
      <w:lang w:eastAsia="zh-CN" w:bidi="hi-IN" w:val="es-ES"/>
    </w:rPr>
  </w:style>
  <w:style w:type="paragraph" w:styleId="SourceCode" w:customStyle="1">
    <w:name w:val="Source Code"/>
    <w:qFormat/>
    <w:pPr>
      <w:widowControl/>
      <w:shd w:val="clear" w:color="auto" w:fill="F2F2F2"/>
      <w:suppressAutoHyphens w:val="true"/>
      <w:bidi w:val="0"/>
      <w:spacing w:before="100" w:after="100"/>
      <w:jc w:val="left"/>
    </w:pPr>
    <w:rPr>
      <w:rFonts w:ascii="Consolas" w:hAnsi="Consolas" w:cs="Times New Roman (正文 CS 字体)" w:eastAsia="Arial" w:eastAsiaTheme="minorHAnsi"/>
      <w:color w:val="auto"/>
      <w:kern w:val="0"/>
      <w:sz w:val="22"/>
      <w:szCs w:val="24"/>
      <w:lang w:val="es-ES" w:eastAsia="en-US" w:bidi="ar-SA"/>
    </w:rPr>
  </w:style>
  <w:style w:type="paragraph" w:styleId="TOC1" w:customStyle="1">
    <w:name w:val="TOC 标题1"/>
    <w:basedOn w:val="Heading1"/>
    <w:next w:val="BodyText"/>
    <w:qFormat/>
    <w:pPr>
      <w:spacing w:lineRule="auto" w:line="259" w:before="240" w:after="80"/>
      <w:outlineLvl w:val="9"/>
    </w:pPr>
    <w:rPr>
      <w:rFonts w:ascii="Aptos Display" w:hAnsi="Aptos Display" w:eastAsia="DengXian Light" w:cs="DejaVu Sans"/>
      <w:color w:themeColor="accent1" w:themeShade="bf" w:val="117A02"/>
    </w:rPr>
  </w:style>
  <w:style w:type="paragraph" w:styleId="CaptionedFigure" w:customStyle="1">
    <w:name w:val="Captioned Figure"/>
    <w:basedOn w:val="Figura"/>
    <w:qFormat/>
    <w:pPr>
      <w:keepNext w:val="true"/>
    </w:pPr>
    <w:rPr/>
  </w:style>
  <w:style w:type="paragraph" w:styleId="Figura" w:customStyle="1">
    <w:name w:val="Figura"/>
    <w:basedOn w:val="Normal"/>
    <w:qFormat/>
    <w:pPr/>
    <w:rPr/>
  </w:style>
  <w:style w:type="paragraph" w:styleId="ImageCaption" w:customStyle="1">
    <w:name w:val="Image Caption"/>
    <w:basedOn w:val="Caption2"/>
    <w:qFormat/>
    <w:pPr/>
    <w:rPr/>
  </w:style>
  <w:style w:type="paragraph" w:styleId="TableCaption" w:customStyle="1">
    <w:name w:val="Table Caption"/>
    <w:basedOn w:val="Caption2"/>
    <w:qFormat/>
    <w:pPr/>
    <w:rPr/>
  </w:style>
  <w:style w:type="paragraph" w:styleId="Definition" w:customStyle="1">
    <w:name w:val="Definition"/>
    <w:basedOn w:val="Normal"/>
    <w:qFormat/>
    <w:pPr/>
    <w:rPr>
      <w:color w:themeColor="text1" w:val="000000"/>
    </w:rPr>
  </w:style>
  <w:style w:type="paragraph" w:styleId="DefinitionTerm" w:customStyle="1">
    <w:name w:val="Definition Term"/>
    <w:basedOn w:val="Normal"/>
    <w:next w:val="Definition"/>
    <w:qFormat/>
    <w:pPr/>
    <w:rPr>
      <w:rFonts w:eastAsia="Arial"/>
    </w:rPr>
  </w:style>
  <w:style w:type="paragraph" w:styleId="FootnoteBlockText" w:customStyle="1">
    <w:name w:val="Footnote Block Text"/>
    <w:basedOn w:val="FootnoteText"/>
    <w:next w:val="FootnoteText"/>
    <w:qFormat/>
    <w:pPr>
      <w:spacing w:before="100" w:after="100"/>
      <w:ind w:left="480" w:right="480"/>
    </w:pPr>
    <w:rPr/>
  </w:style>
  <w:style w:type="paragraph" w:styleId="FootnoteText">
    <w:name w:val="Footnote Text"/>
    <w:basedOn w:val="Normal"/>
    <w:pPr/>
    <w:rPr/>
  </w:style>
  <w:style w:type="paragraph" w:styleId="11" w:customStyle="1">
    <w:name w:val="书目1"/>
    <w:basedOn w:val="Normal"/>
    <w:qFormat/>
    <w:pPr/>
    <w:rPr/>
  </w:style>
  <w:style w:type="paragraph" w:styleId="Abstract" w:customStyle="1">
    <w:name w:val="Abstract"/>
    <w:basedOn w:val="Normal"/>
    <w:next w:val="BodyText"/>
    <w:qFormat/>
    <w:pPr>
      <w:spacing w:before="100" w:after="300"/>
    </w:pPr>
    <w:rPr>
      <w:rFonts w:eastAsia="Arial"/>
      <w:sz w:val="20"/>
      <w:szCs w:val="20"/>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uthor" w:customStyle="1">
    <w:name w:val="Author"/>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Date">
    <w:name w:val="Date"/>
    <w:next w:val="BodyText"/>
    <w:qFormat/>
    <w:pPr>
      <w:widowControl/>
      <w:suppressAutoHyphens w:val="true"/>
      <w:bidi w:val="0"/>
      <w:spacing w:before="0" w:after="200"/>
      <w:jc w:val="center"/>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ListBullet2">
    <w:name w:val="List Bullet 2"/>
    <w:basedOn w:val="Normal"/>
    <w:pPr>
      <w:numPr>
        <w:ilvl w:val="0"/>
        <w:numId w:val="4"/>
      </w:numPr>
      <w:spacing w:lineRule="auto" w:line="360" w:before="120" w:after="200"/>
      <w:ind w:hanging="200" w:left="400"/>
      <w:contextualSpacing/>
    </w:pPr>
    <w:rPr>
      <w:rFonts w:ascii="Arial" w:hAnsi="Arial" w:eastAsia="Arial" w:cs="Arial"/>
    </w:rPr>
  </w:style>
  <w:style w:type="paragraph" w:styleId="ListBullet">
    <w:name w:val="List Bullet"/>
    <w:basedOn w:val="Normal"/>
    <w:pPr>
      <w:numPr>
        <w:ilvl w:val="0"/>
        <w:numId w:val="3"/>
      </w:numPr>
      <w:spacing w:lineRule="auto" w:line="360" w:before="200" w:after="200"/>
      <w:ind w:hanging="200" w:left="200"/>
      <w:contextualSpacing/>
    </w:pPr>
    <w:rPr>
      <w:rFonts w:ascii="Arial" w:hAnsi="Arial" w:eastAsia="Arial" w:cs="Arial"/>
      <w:b/>
      <w:bCs/>
    </w:rPr>
  </w:style>
  <w:style w:type="paragraph" w:styleId="Caption2" w:customStyle="1">
    <w:name w:val="caption2"/>
    <w:basedOn w:val="Normal"/>
    <w:qFormat/>
    <w:pPr>
      <w:spacing w:before="0" w:after="120"/>
    </w:pPr>
    <w:rPr>
      <w:i/>
    </w:rPr>
  </w:style>
  <w:style w:type="paragraph" w:styleId="ListNumber">
    <w:name w:val="List Number"/>
    <w:basedOn w:val="Normal"/>
    <w:pPr>
      <w:numPr>
        <w:ilvl w:val="0"/>
        <w:numId w:val="2"/>
      </w:numPr>
      <w:spacing w:lineRule="auto" w:line="360" w:before="0" w:after="200"/>
      <w:contextualSpacing/>
    </w:pPr>
    <w:rPr>
      <w:rFonts w:ascii="Arial" w:hAnsi="Arial" w:eastAsia="Arial" w:cs="Arial"/>
      <w:b/>
      <w:bCs/>
    </w:rPr>
  </w:style>
  <w:style w:type="paragraph" w:styleId="ListNumber2">
    <w:name w:val="List Number 2"/>
    <w:basedOn w:val="Normal"/>
    <w:pPr>
      <w:numPr>
        <w:ilvl w:val="0"/>
        <w:numId w:val="1"/>
      </w:numPr>
      <w:spacing w:before="0" w:after="200"/>
      <w:contextualSpacing/>
    </w:pPr>
    <w:rPr>
      <w:rFonts w:ascii="Arial" w:hAnsi="Arial" w:eastAsia="Arial" w:cs="Arial"/>
    </w:rPr>
  </w:style>
  <w:style w:type="paragraph" w:styleId="Caption111111" w:customStyle="1">
    <w:name w:val="caption111111"/>
    <w:basedOn w:val="Normal"/>
    <w:qFormat/>
    <w:pPr>
      <w:suppressLineNumbers/>
      <w:spacing w:before="120" w:after="120"/>
    </w:pPr>
    <w:rPr>
      <w:i/>
      <w:iCs/>
    </w:rPr>
  </w:style>
  <w:style w:type="paragraph" w:styleId="Textbody" w:customStyle="1">
    <w:name w:val="Text body"/>
    <w:basedOn w:val="Normal"/>
    <w:qFormat/>
    <w:pPr>
      <w:spacing w:lineRule="auto" w:line="288" w:before="0" w:after="140"/>
      <w:textAlignment w:val="baseline"/>
    </w:pPr>
    <w:rPr>
      <w:rFonts w:ascii="Calibri" w:hAnsi="Calibri" w:eastAsia="Calibri" w:cs="F"/>
      <w:color w:val="00000A"/>
      <w:kern w:val="2"/>
      <w:sz w:val="22"/>
      <w:szCs w:val="22"/>
      <w:lang w:eastAsia="zh-CN"/>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almacen.redsara.es/sending/public/d16f794b-4689-453e-b2b8-273bda666b73"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795</TotalTime>
  <Application>LibreOffice/7.6.7.2$Windows_X86_64 LibreOffice_project/dd47e4b30cb7dab30588d6c79c651f218165e3c5</Application>
  <AppVersion>15.0000</AppVersion>
  <Pages>3</Pages>
  <Words>1234</Words>
  <Characters>7057</Characters>
  <CharactersWithSpaces>8274</CharactersWithSpaces>
  <Paragraphs>26</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2008-04-18T08:06:00Z</dcterms:created>
  <dc:creator>framirez</dc:creator>
  <dc:description/>
  <dc:language>es-ES</dc:language>
  <cp:lastModifiedBy>Ana Isabel Maestro de Pablos</cp:lastModifiedBy>
  <cp:lastPrinted>2026-10-14T12:52:00Z</cp:lastPrinted>
  <dcterms:modified xsi:type="dcterms:W3CDTF">2026-10-14T16:42:00Z</dcterms:modified>
  <cp:revision>138</cp:revision>
  <dc:subject/>
  <dc:title>ORDEN DEL DIA</dc:title>
</cp:coreProperties>
</file>

<file path=docProps/custom.xml><?xml version="1.0" encoding="utf-8"?>
<Properties xmlns="http://schemas.openxmlformats.org/officeDocument/2006/custom-properties" xmlns:vt="http://schemas.openxmlformats.org/officeDocument/2006/docPropsVTypes"/>
</file>