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6C6" w:rsidRDefault="00DE4074">
      <w:pPr>
        <w:pStyle w:val="Ttulo1"/>
        <w:rPr>
          <w:rFonts w:ascii="Arial Narrow" w:hAnsi="Arial Narrow"/>
          <w:sz w:val="40"/>
          <w:szCs w:val="40"/>
        </w:rPr>
      </w:pPr>
      <w:r>
        <w:rPr>
          <w:rFonts w:ascii="Arial Narrow" w:hAnsi="Arial Narrow"/>
          <w:sz w:val="40"/>
          <w:szCs w:val="40"/>
        </w:rPr>
        <w:t>El Ayuntamiento aprueba el proyecto de demolición del antiguo Centro de Personas Mayores de la Fundación Paz y Aflicción</w:t>
      </w:r>
    </w:p>
    <w:p w:rsidR="002566C6" w:rsidRDefault="002566C6">
      <w:pPr>
        <w:pStyle w:val="NormalWeb"/>
        <w:jc w:val="both"/>
        <w:rPr>
          <w:rFonts w:ascii="Arial Narrow" w:hAnsi="Arial Narrow"/>
        </w:rPr>
      </w:pPr>
    </w:p>
    <w:p w:rsidR="002566C6" w:rsidRDefault="00DE4074">
      <w:pPr>
        <w:pStyle w:val="NormalWeb"/>
      </w:pPr>
      <w:r>
        <w:rPr>
          <w:rStyle w:val="Textoennegrita"/>
          <w:rFonts w:ascii="Arial Narrow" w:hAnsi="Arial Narrow"/>
          <w:b w:val="0"/>
          <w:bCs w:val="0"/>
          <w:sz w:val="32"/>
          <w:szCs w:val="32"/>
        </w:rPr>
        <w:t>La actuación permitirá adecentar una parcela municipal de 2.000 metros cuadrados así como poner fin a los problemas de insalubridad e</w:t>
      </w:r>
      <w:r>
        <w:rPr>
          <w:rStyle w:val="Textoennegrita"/>
          <w:rFonts w:ascii="Arial Narrow" w:hAnsi="Arial Narrow"/>
          <w:b w:val="0"/>
          <w:bCs w:val="0"/>
          <w:sz w:val="32"/>
          <w:szCs w:val="32"/>
        </w:rPr>
        <w:t xml:space="preserve"> inseguridad que presenta este espacio desde hace años</w:t>
      </w:r>
    </w:p>
    <w:p w:rsidR="002566C6" w:rsidRDefault="002566C6">
      <w:pPr>
        <w:pStyle w:val="NormalWeb"/>
        <w:jc w:val="both"/>
        <w:rPr>
          <w:rFonts w:ascii="Arial Narrow" w:hAnsi="Arial Narrow"/>
          <w:b/>
          <w:bCs/>
        </w:rPr>
      </w:pPr>
    </w:p>
    <w:p w:rsidR="002566C6" w:rsidRDefault="00DE4074">
      <w:pPr>
        <w:pStyle w:val="NormalWeb"/>
        <w:jc w:val="both"/>
        <w:rPr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>14</w:t>
      </w:r>
      <w:bookmarkStart w:id="0" w:name="_GoBack"/>
      <w:bookmarkEnd w:id="0"/>
      <w:r>
        <w:rPr>
          <w:rFonts w:ascii="Arial Narrow" w:hAnsi="Arial Narrow"/>
          <w:b/>
          <w:bCs/>
          <w:sz w:val="26"/>
          <w:szCs w:val="26"/>
        </w:rPr>
        <w:t xml:space="preserve"> de octubre de 2026. </w:t>
      </w:r>
      <w:r>
        <w:rPr>
          <w:rFonts w:ascii="Arial Narrow" w:hAnsi="Arial Narrow"/>
          <w:sz w:val="26"/>
          <w:szCs w:val="26"/>
        </w:rPr>
        <w:t>El Ayuntamiento ha aprobado el proyecto de demolición del edificio del antiguo Centro de Personas Mayores de la Fundación Paz y Aflicción, situado en la prolongación de la calle</w:t>
      </w:r>
      <w:r>
        <w:rPr>
          <w:rFonts w:ascii="Arial Narrow" w:hAnsi="Arial Narrow"/>
          <w:sz w:val="26"/>
          <w:szCs w:val="26"/>
        </w:rPr>
        <w:t xml:space="preserve"> Pizarro-Avenida de los Marianistas, con el objetivo de  adecentar este espacio, que lleva años en estado de abandono y ha sido objeto de numerosos actos vandálicos y ocupaciones.</w:t>
      </w:r>
    </w:p>
    <w:p w:rsidR="002566C6" w:rsidRDefault="002566C6">
      <w:pPr>
        <w:pStyle w:val="NormalWeb"/>
        <w:jc w:val="both"/>
        <w:rPr>
          <w:rFonts w:ascii="Arial Narrow" w:hAnsi="Arial Narrow"/>
          <w:sz w:val="26"/>
          <w:szCs w:val="26"/>
        </w:rPr>
      </w:pPr>
    </w:p>
    <w:p w:rsidR="002566C6" w:rsidRDefault="00DE4074">
      <w:pPr>
        <w:pStyle w:val="NormalWeb"/>
        <w:jc w:val="both"/>
        <w:rPr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Esta actuación supone un nuevo paso en el proceso iniciado por el Gobierno </w:t>
      </w:r>
      <w:r>
        <w:rPr>
          <w:rFonts w:ascii="Arial Narrow" w:hAnsi="Arial Narrow"/>
          <w:sz w:val="26"/>
          <w:szCs w:val="26"/>
        </w:rPr>
        <w:t>municipal para recuperar este equipamiento y la parcela de titularidad municipal en la que se encuentra, de 2.000 metros cuadrados de superficie. Cabe recordar que, a finales del pasado año, el Ayuntamiento culminó el expediente para poner fin a la concesi</w:t>
      </w:r>
      <w:r>
        <w:rPr>
          <w:rFonts w:ascii="Arial Narrow" w:hAnsi="Arial Narrow"/>
          <w:sz w:val="26"/>
          <w:szCs w:val="26"/>
        </w:rPr>
        <w:t xml:space="preserve">ón administrativa otorgada en su día a esta entidad para la construcción y explotación de un Centro de Personas Mayores y Unidad de Estancia Diurna, recuperando así el uso de estas instalaciones y del terreno que ocupan. </w:t>
      </w:r>
    </w:p>
    <w:p w:rsidR="002566C6" w:rsidRDefault="002566C6">
      <w:pPr>
        <w:pStyle w:val="NormalWeb"/>
        <w:jc w:val="both"/>
        <w:rPr>
          <w:rFonts w:ascii="Arial Narrow" w:hAnsi="Arial Narrow"/>
          <w:sz w:val="26"/>
          <w:szCs w:val="26"/>
        </w:rPr>
      </w:pPr>
    </w:p>
    <w:p w:rsidR="002566C6" w:rsidRDefault="00DE4074">
      <w:pPr>
        <w:pStyle w:val="NormalWeb"/>
        <w:jc w:val="both"/>
        <w:rPr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Tal y como se anunció en su día, </w:t>
      </w:r>
      <w:r>
        <w:rPr>
          <w:rFonts w:ascii="Arial Narrow" w:hAnsi="Arial Narrow"/>
          <w:sz w:val="26"/>
          <w:szCs w:val="26"/>
        </w:rPr>
        <w:t>la finalidad de esta iniciativa es regenerar este entorno y eliminar una zona urbana deteriorada que ha venido generando numerosas quejas y denuncias vecinales debido a las condiciones de insalubridad e inseguridad, derivadas de su prolongado abandono, agr</w:t>
      </w:r>
      <w:r>
        <w:rPr>
          <w:rFonts w:ascii="Arial Narrow" w:hAnsi="Arial Narrow"/>
          <w:sz w:val="26"/>
          <w:szCs w:val="26"/>
        </w:rPr>
        <w:t xml:space="preserve">avado por los actos vandálicos y las sucesivas ocupaciones de las que ha sido objeto. </w:t>
      </w:r>
    </w:p>
    <w:p w:rsidR="002566C6" w:rsidRDefault="002566C6">
      <w:pPr>
        <w:pStyle w:val="NormalWeb"/>
        <w:jc w:val="both"/>
        <w:rPr>
          <w:rFonts w:ascii="Arial Narrow" w:hAnsi="Arial Narrow"/>
          <w:sz w:val="26"/>
          <w:szCs w:val="26"/>
        </w:rPr>
      </w:pPr>
    </w:p>
    <w:p w:rsidR="002566C6" w:rsidRDefault="00DE4074">
      <w:pPr>
        <w:pStyle w:val="NormalWeb"/>
        <w:jc w:val="both"/>
        <w:rPr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Una vez recuperada la disponibilidad de este espacio, el Ayuntamiento ha procedido a la redacción y aprobación del proyecto que permitirá acometer el derribo del edific</w:t>
      </w:r>
      <w:r>
        <w:rPr>
          <w:rFonts w:ascii="Arial Narrow" w:hAnsi="Arial Narrow"/>
          <w:sz w:val="26"/>
          <w:szCs w:val="26"/>
        </w:rPr>
        <w:t xml:space="preserve">io y el acondicionamiento posterior de la parcela; la intervención contempla una serie de trabajos de preparación del terreno y de las instalaciones, que incluirá el desbroce y la limpieza de la parcela, tanto con medios manuales como mecánicos. </w:t>
      </w:r>
    </w:p>
    <w:p w:rsidR="002566C6" w:rsidRDefault="002566C6">
      <w:pPr>
        <w:pStyle w:val="NormalWeb"/>
        <w:jc w:val="both"/>
        <w:rPr>
          <w:sz w:val="26"/>
          <w:szCs w:val="26"/>
        </w:rPr>
      </w:pPr>
    </w:p>
    <w:p w:rsidR="002566C6" w:rsidRDefault="00DE4074">
      <w:pPr>
        <w:pStyle w:val="NormalWeb"/>
        <w:jc w:val="both"/>
        <w:rPr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Asimismo</w:t>
      </w:r>
      <w:r>
        <w:rPr>
          <w:rFonts w:ascii="Arial Narrow" w:hAnsi="Arial Narrow"/>
          <w:sz w:val="26"/>
          <w:szCs w:val="26"/>
        </w:rPr>
        <w:t>, antes de comenzar la demolición, se procederá a delimitar y señalizar mediante vallado toda la zona afectada por las obras, así como a retirar de forma selectiva los enseres, el mobiliario y otros materiales existentes en el inmueble. Una vez finalizados</w:t>
      </w:r>
      <w:r>
        <w:rPr>
          <w:rFonts w:ascii="Arial Narrow" w:hAnsi="Arial Narrow"/>
          <w:sz w:val="26"/>
          <w:szCs w:val="26"/>
        </w:rPr>
        <w:t xml:space="preserve"> estos trabajos preparatorios, se acometerá el derribo de los distintos </w:t>
      </w:r>
      <w:r>
        <w:rPr>
          <w:rFonts w:ascii="Arial Narrow" w:hAnsi="Arial Narrow"/>
          <w:sz w:val="26"/>
          <w:szCs w:val="26"/>
        </w:rPr>
        <w:lastRenderedPageBreak/>
        <w:t>elementos que conforman el edificio, entre ellos los muros de protección de las cubiertas, las propias cubiertas, los tabiques interiores, los forjados y las vigas principales.</w:t>
      </w:r>
    </w:p>
    <w:p w:rsidR="002566C6" w:rsidRDefault="002566C6">
      <w:pPr>
        <w:pStyle w:val="NormalWeb"/>
        <w:jc w:val="both"/>
        <w:rPr>
          <w:rFonts w:ascii="Arial Narrow" w:hAnsi="Arial Narrow"/>
          <w:sz w:val="26"/>
          <w:szCs w:val="26"/>
        </w:rPr>
      </w:pPr>
    </w:p>
    <w:p w:rsidR="002566C6" w:rsidRDefault="00DE4074">
      <w:pPr>
        <w:pStyle w:val="NormalWeb"/>
        <w:jc w:val="both"/>
        <w:rPr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Tras l</w:t>
      </w:r>
      <w:r>
        <w:rPr>
          <w:rFonts w:ascii="Arial Narrow" w:hAnsi="Arial Narrow"/>
          <w:sz w:val="26"/>
          <w:szCs w:val="26"/>
        </w:rPr>
        <w:t>a demolición, el proyecto prevé el relleno con tierra de los huecos o desniveles que pudieran quedar en el solar con el fin de igualar el terreno con la altura de la vía pública, en caso de que resulte necesario. Finalmente, se llevará a cabo la limpieza g</w:t>
      </w:r>
      <w:r>
        <w:rPr>
          <w:rFonts w:ascii="Arial Narrow" w:hAnsi="Arial Narrow"/>
          <w:sz w:val="26"/>
          <w:szCs w:val="26"/>
        </w:rPr>
        <w:t>eneral de la parcela, la retirada de las instalaciones provisionales utilizadas durante las obras, y la colocación de un cerramiento definitivo mediante una valla de malla metálica.</w:t>
      </w:r>
    </w:p>
    <w:p w:rsidR="002566C6" w:rsidRDefault="002566C6">
      <w:pPr>
        <w:pStyle w:val="NormalWeb"/>
        <w:jc w:val="both"/>
        <w:rPr>
          <w:rFonts w:ascii="Arial Narrow" w:hAnsi="Arial Narrow"/>
          <w:sz w:val="26"/>
          <w:szCs w:val="26"/>
        </w:rPr>
      </w:pPr>
    </w:p>
    <w:p w:rsidR="002566C6" w:rsidRDefault="00DE4074">
      <w:pPr>
        <w:pStyle w:val="NormalWeb"/>
        <w:jc w:val="both"/>
        <w:rPr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Cabe recordar que el expediente que ha permitido recuperar estas instalac</w:t>
      </w:r>
      <w:r>
        <w:rPr>
          <w:rFonts w:ascii="Arial Narrow" w:hAnsi="Arial Narrow"/>
          <w:sz w:val="26"/>
          <w:szCs w:val="26"/>
        </w:rPr>
        <w:t>iones se inició como consecuencia de los incumplimientos de las obligaciones asumidas por la entidad adjudicataria de la concesión administrativa. En este sentido, la Fundación Paz y Aflicción comunicó al Ayuntamiento en 2019 su falta de interés en continu</w:t>
      </w:r>
      <w:r>
        <w:rPr>
          <w:rFonts w:ascii="Arial Narrow" w:hAnsi="Arial Narrow"/>
          <w:sz w:val="26"/>
          <w:szCs w:val="26"/>
        </w:rPr>
        <w:t>ar con la concesión, permaneciendo las instalaciones sin actividad al menos desde ese año. A ello se suma la falta del debido mantenimiento y conservación del edificio y de sus instalaciones, circunstancias que han contribuido al progresivo deterioro del i</w:t>
      </w:r>
      <w:r>
        <w:rPr>
          <w:rFonts w:ascii="Arial Narrow" w:hAnsi="Arial Narrow"/>
          <w:sz w:val="26"/>
          <w:szCs w:val="26"/>
        </w:rPr>
        <w:t>nmueble.</w:t>
      </w:r>
    </w:p>
    <w:p w:rsidR="002566C6" w:rsidRDefault="002566C6">
      <w:pPr>
        <w:pStyle w:val="NormalWeb"/>
        <w:jc w:val="both"/>
        <w:rPr>
          <w:rFonts w:ascii="Arial Narrow" w:hAnsi="Arial Narrow"/>
        </w:rPr>
      </w:pPr>
    </w:p>
    <w:p w:rsidR="002566C6" w:rsidRDefault="002566C6">
      <w:pPr>
        <w:pStyle w:val="NormalWeb"/>
        <w:jc w:val="both"/>
        <w:rPr>
          <w:sz w:val="26"/>
          <w:szCs w:val="26"/>
        </w:rPr>
      </w:pPr>
    </w:p>
    <w:p w:rsidR="002566C6" w:rsidRDefault="002566C6">
      <w:pPr>
        <w:jc w:val="both"/>
        <w:rPr>
          <w:rFonts w:ascii="Arial Narrow" w:hAnsi="Arial Narrow"/>
          <w:sz w:val="26"/>
          <w:szCs w:val="26"/>
        </w:rPr>
      </w:pPr>
    </w:p>
    <w:sectPr w:rsidR="002566C6">
      <w:headerReference w:type="default" r:id="rId7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E4074">
      <w:r>
        <w:separator/>
      </w:r>
    </w:p>
  </w:endnote>
  <w:endnote w:type="continuationSeparator" w:id="0">
    <w:p w:rsidR="00000000" w:rsidRDefault="00DE4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">
    <w:altName w:val="Malgun Gothic"/>
    <w:panose1 w:val="00000000000000000000"/>
    <w:charset w:val="00"/>
    <w:family w:val="roman"/>
    <w:notTrueType/>
    <w:pitch w:val="default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(正文 CS 字体)">
    <w:altName w:val="MS Gothic"/>
    <w:panose1 w:val="00000000000000000000"/>
    <w:charset w:val="80"/>
    <w:family w:val="roman"/>
    <w:notTrueType/>
    <w:pitch w:val="default"/>
  </w:font>
  <w:font w:name="DengXian Light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</w:font>
  <w:font w:name="F">
    <w:panose1 w:val="00000000000000000000"/>
    <w:charset w:val="00"/>
    <w:family w:val="roman"/>
    <w:notTrueType/>
    <w:pitch w:val="default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E4074">
      <w:r>
        <w:separator/>
      </w:r>
    </w:p>
  </w:footnote>
  <w:footnote w:type="continuationSeparator" w:id="0">
    <w:p w:rsidR="00000000" w:rsidRDefault="00DE40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66C6" w:rsidRDefault="00DE4074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566C6" w:rsidRDefault="002566C6">
    <w:pPr>
      <w:pStyle w:val="Encabezado"/>
    </w:pPr>
  </w:p>
  <w:p w:rsidR="002566C6" w:rsidRDefault="002566C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F248CD"/>
    <w:multiLevelType w:val="multilevel"/>
    <w:tmpl w:val="5AC83A0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C5D4326"/>
    <w:multiLevelType w:val="multilevel"/>
    <w:tmpl w:val="AA343A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D343140"/>
    <w:multiLevelType w:val="multilevel"/>
    <w:tmpl w:val="43A0B892"/>
    <w:lvl w:ilvl="0">
      <w:start w:val="1"/>
      <w:numFmt w:val="bullet"/>
      <w:pStyle w:val="Listaconvietas2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F3271FA"/>
    <w:multiLevelType w:val="multilevel"/>
    <w:tmpl w:val="AE3E2A7E"/>
    <w:lvl w:ilvl="0">
      <w:start w:val="1"/>
      <w:numFmt w:val="bullet"/>
      <w:pStyle w:val="Listaconvietas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ED040CD"/>
    <w:multiLevelType w:val="multilevel"/>
    <w:tmpl w:val="820A1788"/>
    <w:lvl w:ilvl="0">
      <w:start w:val="1"/>
      <w:numFmt w:val="decimal"/>
      <w:pStyle w:val="Listaconnmeros2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</w:compat>
  <w:rsids>
    <w:rsidRoot w:val="002566C6"/>
    <w:rsid w:val="002566C6"/>
    <w:rsid w:val="00DE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3801BC-11BB-44B1-BD43-6B034F475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3">
    <w:name w:val="heading 3"/>
    <w:basedOn w:val="normal1"/>
    <w:next w:val="normal1"/>
    <w:qFormat/>
    <w:pPr>
      <w:keepNext/>
      <w:spacing w:before="140" w:after="120"/>
      <w:outlineLvl w:val="2"/>
    </w:pPr>
    <w:rPr>
      <w:rFonts w:ascii="Liberation Serif" w:eastAsia="Liberation Serif" w:hAnsi="Liberation Serif" w:cs="Liberation Serif"/>
      <w:b/>
      <w:bCs/>
      <w:sz w:val="28"/>
      <w:szCs w:val="28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qFormat/>
    <w:pPr>
      <w:keepNext/>
      <w:keepLines/>
      <w:spacing w:before="200" w:after="40"/>
      <w:outlineLvl w:val="5"/>
    </w:pPr>
    <w:rPr>
      <w:b/>
      <w:bCs/>
    </w:rPr>
  </w:style>
  <w:style w:type="paragraph" w:styleId="Ttulo7">
    <w:name w:val="heading 7"/>
    <w:basedOn w:val="Normal"/>
    <w:next w:val="Textoindependiente"/>
    <w:qFormat/>
    <w:pPr>
      <w:spacing w:before="40"/>
      <w:outlineLvl w:val="6"/>
    </w:pPr>
    <w:rPr>
      <w:rFonts w:ascii="Microsoft YaHei" w:eastAsia="Arial" w:hAnsi="Microsoft YaHei" w:cs="Microsoft YaHei"/>
      <w:color w:val="000000" w:themeColor="text1"/>
    </w:rPr>
  </w:style>
  <w:style w:type="paragraph" w:styleId="Ttulo8">
    <w:name w:val="heading 8"/>
    <w:basedOn w:val="Normal"/>
    <w:next w:val="Textoindependiente"/>
    <w:qFormat/>
    <w:pPr>
      <w:outlineLvl w:val="7"/>
    </w:pPr>
    <w:rPr>
      <w:rFonts w:eastAsia="Arial" w:cs="DejaVu Sans"/>
      <w:iCs/>
      <w:color w:val="000000" w:themeColor="text1"/>
    </w:rPr>
  </w:style>
  <w:style w:type="paragraph" w:styleId="Ttulo9">
    <w:name w:val="heading 9"/>
    <w:basedOn w:val="Normal"/>
    <w:next w:val="Textoindependiente"/>
    <w:qFormat/>
    <w:pPr>
      <w:outlineLvl w:val="8"/>
    </w:pPr>
    <w:rPr>
      <w:rFonts w:eastAsia="Arial" w:cs="DejaVu Sans"/>
      <w:color w:val="272727" w:themeColor="dark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NormalTok">
    <w:name w:val="Normal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ErrorTok">
    <w:name w:val="Error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AlertTok">
    <w:name w:val="Alert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WarningTok">
    <w:name w:val="Warning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InformationTok">
    <w:name w:val="Inform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RegionMarkerTok">
    <w:name w:val="RegionMarker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AttributeTok">
    <w:name w:val="AttributeTok"/>
    <w:basedOn w:val="VerbatimChar"/>
    <w:qFormat/>
    <w:rPr>
      <w:rFonts w:ascii="Consolas" w:eastAsia="Arial" w:hAnsi="Consolas" w:cs="Times New Roman (正文 CS 字体)"/>
      <w:color w:val="7D9029"/>
      <w:sz w:val="22"/>
      <w:shd w:val="clear" w:color="auto" w:fill="F2F2F2"/>
    </w:rPr>
  </w:style>
  <w:style w:type="character" w:customStyle="1" w:styleId="PreprocessorTok">
    <w:name w:val="PreprocessorTok"/>
    <w:basedOn w:val="VerbatimChar"/>
    <w:qFormat/>
    <w:rPr>
      <w:rFonts w:ascii="Consolas" w:eastAsia="Arial" w:hAnsi="Consolas" w:cs="Times New Roman (正文 CS 字体)"/>
      <w:color w:val="BC7A00"/>
      <w:sz w:val="22"/>
      <w:shd w:val="clear" w:color="auto" w:fill="F2F2F2"/>
    </w:rPr>
  </w:style>
  <w:style w:type="character" w:customStyle="1" w:styleId="ExtensionTok">
    <w:name w:val="Extension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BuiltInTok">
    <w:name w:val="BuiltInTok"/>
    <w:basedOn w:val="VerbatimChar"/>
    <w:qFormat/>
    <w:rPr>
      <w:rFonts w:ascii="Consolas" w:eastAsia="Arial" w:hAnsi="Consolas" w:cs="Times New Roman (正文 CS 字体)"/>
      <w:color w:val="008000"/>
      <w:sz w:val="22"/>
      <w:shd w:val="clear" w:color="auto" w:fill="F2F2F2"/>
    </w:rPr>
  </w:style>
  <w:style w:type="character" w:customStyle="1" w:styleId="OperatorTok">
    <w:name w:val="OperatorTok"/>
    <w:basedOn w:val="VerbatimChar"/>
    <w:qFormat/>
    <w:rPr>
      <w:rFonts w:ascii="Consolas" w:eastAsia="Arial" w:hAnsi="Consolas" w:cs="Times New Roman (正文 CS 字体)"/>
      <w:color w:val="666666"/>
      <w:sz w:val="22"/>
      <w:shd w:val="clear" w:color="auto" w:fill="F2F2F2"/>
    </w:rPr>
  </w:style>
  <w:style w:type="character" w:customStyle="1" w:styleId="ControlFlowTok">
    <w:name w:val="ControlFlow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VariableTok">
    <w:name w:val="VariableTok"/>
    <w:basedOn w:val="VerbatimChar"/>
    <w:qFormat/>
    <w:rPr>
      <w:rFonts w:ascii="Consolas" w:eastAsia="Arial" w:hAnsi="Consolas" w:cs="Times New Roman (正文 CS 字体)"/>
      <w:color w:val="19177C"/>
      <w:sz w:val="22"/>
      <w:shd w:val="clear" w:color="auto" w:fill="F2F2F2"/>
    </w:rPr>
  </w:style>
  <w:style w:type="character" w:customStyle="1" w:styleId="FunctionTok">
    <w:name w:val="FunctionTok"/>
    <w:basedOn w:val="VerbatimChar"/>
    <w:qFormat/>
    <w:rPr>
      <w:rFonts w:ascii="Consolas" w:eastAsia="Arial" w:hAnsi="Consolas" w:cs="Times New Roman (正文 CS 字体)"/>
      <w:color w:val="06287E"/>
      <w:sz w:val="22"/>
      <w:shd w:val="clear" w:color="auto" w:fill="F2F2F2"/>
    </w:rPr>
  </w:style>
  <w:style w:type="character" w:customStyle="1" w:styleId="OtherTok">
    <w:name w:val="OtherTok"/>
    <w:basedOn w:val="VerbatimChar"/>
    <w:qFormat/>
    <w:rPr>
      <w:rFonts w:ascii="Consolas" w:eastAsia="Arial" w:hAnsi="Consolas" w:cs="Times New Roman (正文 CS 字体)"/>
      <w:color w:val="007020"/>
      <w:sz w:val="22"/>
      <w:shd w:val="clear" w:color="auto" w:fill="F2F2F2"/>
    </w:rPr>
  </w:style>
  <w:style w:type="character" w:customStyle="1" w:styleId="CommentVarTok">
    <w:name w:val="CommentVar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AnnotationTok">
    <w:name w:val="Annot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DocumentationTok">
    <w:name w:val="DocumentationTok"/>
    <w:basedOn w:val="VerbatimChar"/>
    <w:qFormat/>
    <w:rPr>
      <w:rFonts w:ascii="Consolas" w:eastAsia="Arial" w:hAnsi="Consolas" w:cs="Times New Roman (正文 CS 字体)"/>
      <w:i/>
      <w:color w:val="BA2121"/>
      <w:sz w:val="22"/>
      <w:shd w:val="clear" w:color="auto" w:fill="F2F2F2"/>
    </w:rPr>
  </w:style>
  <w:style w:type="character" w:customStyle="1" w:styleId="CommentTok">
    <w:name w:val="CommentTok"/>
    <w:basedOn w:val="VerbatimChar"/>
    <w:qFormat/>
    <w:rPr>
      <w:rFonts w:ascii="Consolas" w:eastAsia="Arial" w:hAnsi="Consolas" w:cs="Times New Roman (正文 CS 字体)"/>
      <w:i/>
      <w:color w:val="60A0B0"/>
      <w:sz w:val="22"/>
      <w:shd w:val="clear" w:color="auto" w:fill="F2F2F2"/>
    </w:rPr>
  </w:style>
  <w:style w:type="character" w:customStyle="1" w:styleId="ImportTok">
    <w:name w:val="ImportTok"/>
    <w:basedOn w:val="VerbatimChar"/>
    <w:qFormat/>
    <w:rPr>
      <w:rFonts w:ascii="Consolas" w:eastAsia="Arial" w:hAnsi="Consolas" w:cs="Times New Roman (正文 CS 字体)"/>
      <w:b/>
      <w:color w:val="008000"/>
      <w:sz w:val="22"/>
      <w:shd w:val="clear" w:color="auto" w:fill="F2F2F2"/>
    </w:rPr>
  </w:style>
  <w:style w:type="character" w:customStyle="1" w:styleId="SpecialStringTok">
    <w:name w:val="SpecialStringTok"/>
    <w:basedOn w:val="VerbatimChar"/>
    <w:qFormat/>
    <w:rPr>
      <w:rFonts w:ascii="Consolas" w:eastAsia="Arial" w:hAnsi="Consolas" w:cs="Times New Roman (正文 CS 字体)"/>
      <w:color w:val="BB6688"/>
      <w:sz w:val="22"/>
      <w:shd w:val="clear" w:color="auto" w:fill="F2F2F2"/>
    </w:rPr>
  </w:style>
  <w:style w:type="character" w:customStyle="1" w:styleId="VerbatimStringTok">
    <w:name w:val="Verbatim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tringTok">
    <w:name w:val="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pecialCharTok">
    <w:name w:val="Special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harTok">
    <w:name w:val="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onstantTok">
    <w:name w:val="ConstantTok"/>
    <w:basedOn w:val="VerbatimChar"/>
    <w:qFormat/>
    <w:rPr>
      <w:rFonts w:ascii="Consolas" w:eastAsia="Arial" w:hAnsi="Consolas" w:cs="Times New Roman (正文 CS 字体)"/>
      <w:color w:val="880000"/>
      <w:sz w:val="22"/>
      <w:shd w:val="clear" w:color="auto" w:fill="F2F2F2"/>
    </w:rPr>
  </w:style>
  <w:style w:type="character" w:customStyle="1" w:styleId="FloatTok">
    <w:name w:val="Float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BaseNTok">
    <w:name w:val="BaseN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ecValTok">
    <w:name w:val="DecVal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ataTypeTok">
    <w:name w:val="DataTypeTok"/>
    <w:basedOn w:val="VerbatimChar"/>
    <w:qFormat/>
    <w:rPr>
      <w:rFonts w:ascii="Consolas" w:eastAsia="Arial" w:hAnsi="Consolas" w:cs="Times New Roman (正文 CS 字体)"/>
      <w:color w:val="902000"/>
      <w:sz w:val="22"/>
      <w:shd w:val="clear" w:color="auto" w:fill="F2F2F2"/>
    </w:rPr>
  </w:style>
  <w:style w:type="character" w:customStyle="1" w:styleId="KeywordTok">
    <w:name w:val="Keyword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SectionNumber">
    <w:name w:val="Section Number"/>
    <w:basedOn w:val="a"/>
    <w:qFormat/>
  </w:style>
  <w:style w:type="character" w:customStyle="1" w:styleId="VerbatimChar">
    <w:name w:val="Verbatim Char"/>
    <w:basedOn w:val="a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9">
    <w:name w:val="标题 9 字符"/>
    <w:basedOn w:val="Fuentedeprrafopredeter"/>
    <w:qFormat/>
    <w:rPr>
      <w:rFonts w:eastAsia="Arial" w:cs="DejaVu Sans"/>
      <w:color w:val="272727" w:themeColor="dark1" w:themeTint="D8"/>
      <w:sz w:val="24"/>
      <w:szCs w:val="24"/>
      <w:lang w:eastAsia="en-US"/>
    </w:rPr>
  </w:style>
  <w:style w:type="character" w:customStyle="1" w:styleId="8">
    <w:name w:val="标题 8 字符"/>
    <w:basedOn w:val="Fuentedeprrafopredeter"/>
    <w:qFormat/>
    <w:rPr>
      <w:rFonts w:eastAsia="Arial" w:cs="DejaVu Sans"/>
      <w:iCs/>
      <w:color w:val="000000" w:themeColor="text1"/>
      <w:sz w:val="24"/>
      <w:szCs w:val="24"/>
      <w:lang w:eastAsia="en-US"/>
    </w:rPr>
  </w:style>
  <w:style w:type="character" w:customStyle="1" w:styleId="7">
    <w:name w:val="标题 7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6">
    <w:name w:val="标题 6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5">
    <w:name w:val="标题 5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4">
    <w:name w:val="标题 4 字符"/>
    <w:basedOn w:val="Fuentedeprrafopredeter"/>
    <w:qFormat/>
    <w:rPr>
      <w:rFonts w:ascii="Arial" w:eastAsia="Arial" w:hAnsi="Arial" w:cs="Arial"/>
      <w:b/>
      <w:color w:val="000000" w:themeColor="text1"/>
      <w:sz w:val="24"/>
      <w:szCs w:val="24"/>
      <w:lang w:eastAsia="en-US"/>
    </w:rPr>
  </w:style>
  <w:style w:type="character" w:customStyle="1" w:styleId="3">
    <w:name w:val="标题 3 字符"/>
    <w:basedOn w:val="Fuentedeprrafopredeter"/>
    <w:qFormat/>
    <w:rPr>
      <w:rFonts w:ascii="Arial" w:eastAsia="Arial" w:hAnsi="Arial" w:cs="Arial"/>
      <w:b/>
      <w:bCs/>
      <w:color w:val="000000" w:themeColor="text1"/>
      <w:sz w:val="28"/>
      <w:szCs w:val="28"/>
      <w:lang w:eastAsia="en-US"/>
    </w:rPr>
  </w:style>
  <w:style w:type="character" w:customStyle="1" w:styleId="2">
    <w:name w:val="标题 2 字符"/>
    <w:basedOn w:val="Fuentedeprrafopredeter"/>
    <w:qFormat/>
    <w:rPr>
      <w:rFonts w:ascii="Arial" w:eastAsia="Arial" w:hAnsi="Arial" w:cs="Arial"/>
      <w:b/>
      <w:bCs/>
      <w:color w:val="000000" w:themeColor="text1"/>
      <w:sz w:val="32"/>
      <w:szCs w:val="32"/>
      <w:lang w:eastAsia="en-US"/>
    </w:rPr>
  </w:style>
  <w:style w:type="character" w:customStyle="1" w:styleId="1">
    <w:name w:val="标题 1 字符"/>
    <w:basedOn w:val="Fuentedeprrafopredeter"/>
    <w:qFormat/>
    <w:rPr>
      <w:rFonts w:ascii="Arial" w:eastAsia="Arial" w:hAnsi="Arial" w:cs="Arial"/>
      <w:b/>
      <w:bCs/>
      <w:color w:val="000000" w:themeColor="text1"/>
      <w:sz w:val="44"/>
      <w:szCs w:val="40"/>
      <w:lang w:eastAsia="en-US"/>
    </w:rPr>
  </w:style>
  <w:style w:type="character" w:customStyle="1" w:styleId="a0">
    <w:name w:val="副标题 字符"/>
    <w:basedOn w:val="Fuentedeprrafopredeter"/>
    <w:qFormat/>
    <w:rPr>
      <w:rFonts w:eastAsia="DengXian Light" w:cs="DejaVu Sans"/>
      <w:color w:val="595959" w:themeColor="dark1" w:themeTint="A6"/>
      <w:spacing w:val="15"/>
      <w:sz w:val="28"/>
      <w:szCs w:val="28"/>
    </w:rPr>
  </w:style>
  <w:style w:type="character" w:customStyle="1" w:styleId="a1">
    <w:name w:val="标题 字符"/>
    <w:basedOn w:val="Fuentedeprrafopredeter"/>
    <w:qFormat/>
    <w:rPr>
      <w:rFonts w:ascii="Arial" w:eastAsia="Arial" w:hAnsi="Arial" w:cs="Arial"/>
      <w:spacing w:val="-10"/>
      <w:kern w:val="2"/>
      <w:sz w:val="56"/>
      <w:szCs w:val="56"/>
    </w:rPr>
  </w:style>
  <w:style w:type="character" w:customStyle="1" w:styleId="Caracteresdenotaalpie">
    <w:name w:val="Caracteres de nota al pie"/>
    <w:basedOn w:val="a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a">
    <w:name w:val="题注 字符"/>
    <w:basedOn w:val="Fuentedeprrafopredeter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uiPriority w:val="99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11">
    <w:name w:val="caption1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p1">
    <w:name w:val="p1"/>
    <w:basedOn w:val="Normal"/>
    <w:qFormat/>
    <w:rPr>
      <w:rFonts w:ascii="Arial" w:eastAsia="Times New Roman" w:hAnsi="Arial" w:cs="Arial"/>
      <w:color w:val="00000A"/>
      <w:sz w:val="14"/>
      <w:szCs w:val="14"/>
      <w:lang w:eastAsia="es-ES_tradnl"/>
    </w:rPr>
  </w:style>
  <w:style w:type="paragraph" w:styleId="Subttulo">
    <w:name w:val="Subtitle"/>
    <w:basedOn w:val="normal1"/>
    <w:next w:val="normal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normal1">
    <w:name w:val="normal1"/>
    <w:qFormat/>
    <w:rPr>
      <w:rFonts w:ascii="Times New Roman" w:eastAsia="NSimSun" w:hAnsi="Times New Roman" w:cs="Arial"/>
      <w:sz w:val="20"/>
      <w:szCs w:val="20"/>
      <w:lang w:eastAsia="zh-CN" w:bidi="hi-IN"/>
    </w:rPr>
  </w:style>
  <w:style w:type="paragraph" w:customStyle="1" w:styleId="SourceCode">
    <w:name w:val="Source Code"/>
    <w:qFormat/>
    <w:pPr>
      <w:shd w:val="clear" w:color="auto" w:fill="F2F2F2"/>
      <w:spacing w:before="100" w:after="100"/>
    </w:pPr>
    <w:rPr>
      <w:rFonts w:ascii="Consolas" w:hAnsi="Consolas" w:cs="Times New Roman (正文 CS 字体)"/>
      <w:sz w:val="22"/>
    </w:rPr>
  </w:style>
  <w:style w:type="paragraph" w:customStyle="1" w:styleId="TOC1">
    <w:name w:val="TOC 标题1"/>
    <w:basedOn w:val="Ttulo1"/>
    <w:next w:val="Textoindependiente"/>
    <w:qFormat/>
    <w:pPr>
      <w:spacing w:after="80" w:line="259" w:lineRule="auto"/>
      <w:outlineLvl w:val="9"/>
    </w:pPr>
    <w:rPr>
      <w:rFonts w:ascii="Aptos Display" w:eastAsia="DengXian Light" w:hAnsi="Aptos Display" w:cs="DejaVu Sans"/>
      <w:color w:val="117A02" w:themeColor="accent1" w:themeShade="BF"/>
    </w:rPr>
  </w:style>
  <w:style w:type="paragraph" w:customStyle="1" w:styleId="CaptionedFigure">
    <w:name w:val="Captioned Figure"/>
    <w:basedOn w:val="Figura"/>
    <w:qFormat/>
    <w:pPr>
      <w:keepNext/>
    </w:pPr>
  </w:style>
  <w:style w:type="paragraph" w:customStyle="1" w:styleId="Figura">
    <w:name w:val="Figura"/>
    <w:basedOn w:val="Normal"/>
    <w:qFormat/>
  </w:style>
  <w:style w:type="paragraph" w:customStyle="1" w:styleId="ImageCaption">
    <w:name w:val="Image Caption"/>
    <w:basedOn w:val="caption2"/>
    <w:qFormat/>
  </w:style>
  <w:style w:type="paragraph" w:customStyle="1" w:styleId="TableCaption">
    <w:name w:val="Table Caption"/>
    <w:basedOn w:val="caption2"/>
    <w:qFormat/>
  </w:style>
  <w:style w:type="paragraph" w:customStyle="1" w:styleId="Definition">
    <w:name w:val="Definition"/>
    <w:basedOn w:val="Normal"/>
    <w:qFormat/>
    <w:rPr>
      <w:color w:val="000000" w:themeColor="text1"/>
    </w:rPr>
  </w:style>
  <w:style w:type="paragraph" w:customStyle="1" w:styleId="DefinitionTerm">
    <w:name w:val="Definition Term"/>
    <w:basedOn w:val="Normal"/>
    <w:next w:val="Definition"/>
    <w:qFormat/>
    <w:rPr>
      <w:rFonts w:eastAsia="Arial"/>
    </w:rPr>
  </w:style>
  <w:style w:type="paragraph" w:customStyle="1" w:styleId="FootnoteBlockText">
    <w:name w:val="Footnote Block Text"/>
    <w:basedOn w:val="Textonotapie"/>
    <w:next w:val="Textonotapie"/>
    <w:qFormat/>
    <w:pPr>
      <w:spacing w:before="100" w:after="100"/>
      <w:ind w:left="480" w:right="480"/>
    </w:pPr>
  </w:style>
  <w:style w:type="paragraph" w:styleId="Textonotapie">
    <w:name w:val="footnote text"/>
    <w:basedOn w:val="Normal"/>
  </w:style>
  <w:style w:type="paragraph" w:customStyle="1" w:styleId="10">
    <w:name w:val="书目1"/>
    <w:basedOn w:val="Normal"/>
    <w:qFormat/>
  </w:style>
  <w:style w:type="paragraph" w:customStyle="1" w:styleId="Abstract">
    <w:name w:val="Abstract"/>
    <w:basedOn w:val="Normal"/>
    <w:next w:val="Textoindependiente"/>
    <w:qFormat/>
    <w:pPr>
      <w:spacing w:before="100" w:after="300"/>
    </w:pPr>
    <w:rPr>
      <w:rFonts w:eastAsia="Arial"/>
      <w:sz w:val="20"/>
      <w:szCs w:val="20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uthor">
    <w:name w:val="Author"/>
    <w:next w:val="Textoindependiente"/>
    <w:qFormat/>
    <w:pPr>
      <w:spacing w:after="200"/>
      <w:jc w:val="center"/>
    </w:pPr>
  </w:style>
  <w:style w:type="paragraph" w:styleId="Fecha">
    <w:name w:val="Date"/>
    <w:next w:val="Textoindependiente"/>
    <w:qFormat/>
    <w:pPr>
      <w:spacing w:after="200"/>
      <w:jc w:val="center"/>
    </w:pPr>
  </w:style>
  <w:style w:type="paragraph" w:styleId="Listaconvietas2">
    <w:name w:val="List Bullet 2"/>
    <w:basedOn w:val="Normal"/>
    <w:pPr>
      <w:numPr>
        <w:numId w:val="4"/>
      </w:numPr>
      <w:spacing w:before="120" w:after="200" w:line="360" w:lineRule="auto"/>
      <w:ind w:left="400" w:hanging="200"/>
      <w:contextualSpacing/>
    </w:pPr>
    <w:rPr>
      <w:rFonts w:ascii="Arial" w:eastAsia="Arial" w:hAnsi="Arial" w:cs="Arial"/>
    </w:rPr>
  </w:style>
  <w:style w:type="paragraph" w:styleId="Listaconvietas">
    <w:name w:val="List Bullet"/>
    <w:basedOn w:val="Normal"/>
    <w:pPr>
      <w:numPr>
        <w:numId w:val="3"/>
      </w:numPr>
      <w:spacing w:before="200" w:after="200" w:line="360" w:lineRule="auto"/>
      <w:ind w:left="200" w:hanging="200"/>
      <w:contextualSpacing/>
    </w:pPr>
    <w:rPr>
      <w:rFonts w:ascii="Arial" w:eastAsia="Arial" w:hAnsi="Arial" w:cs="Arial"/>
      <w:b/>
      <w:bCs/>
    </w:rPr>
  </w:style>
  <w:style w:type="paragraph" w:customStyle="1" w:styleId="caption2">
    <w:name w:val="caption2"/>
    <w:basedOn w:val="Normal"/>
    <w:qFormat/>
    <w:pPr>
      <w:spacing w:after="120"/>
    </w:pPr>
    <w:rPr>
      <w:i/>
    </w:rPr>
  </w:style>
  <w:style w:type="paragraph" w:styleId="Listaconnmeros">
    <w:name w:val="List Number"/>
    <w:basedOn w:val="Normal"/>
    <w:pPr>
      <w:numPr>
        <w:numId w:val="2"/>
      </w:numPr>
      <w:spacing w:after="200" w:line="360" w:lineRule="auto"/>
      <w:contextualSpacing/>
    </w:pPr>
    <w:rPr>
      <w:rFonts w:ascii="Arial" w:eastAsia="Arial" w:hAnsi="Arial" w:cs="Arial"/>
      <w:b/>
      <w:bCs/>
    </w:rPr>
  </w:style>
  <w:style w:type="paragraph" w:styleId="Listaconnmeros2">
    <w:name w:val="List Number 2"/>
    <w:basedOn w:val="Normal"/>
    <w:pPr>
      <w:numPr>
        <w:numId w:val="1"/>
      </w:numPr>
      <w:spacing w:after="200"/>
      <w:contextualSpacing/>
    </w:pPr>
    <w:rPr>
      <w:rFonts w:ascii="Arial" w:eastAsia="Arial" w:hAnsi="Arial" w:cs="Arial"/>
    </w:rPr>
  </w:style>
  <w:style w:type="paragraph" w:customStyle="1" w:styleId="caption1111111">
    <w:name w:val="caption11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Normal"/>
    <w:qFormat/>
    <w:pPr>
      <w:spacing w:after="140" w:line="288" w:lineRule="auto"/>
      <w:textAlignment w:val="baseline"/>
    </w:pPr>
    <w:rPr>
      <w:rFonts w:ascii="Calibri" w:eastAsia="Calibri" w:hAnsi="Calibri" w:cs="F"/>
      <w:color w:val="00000A"/>
      <w:kern w:val="2"/>
      <w:sz w:val="22"/>
      <w:szCs w:val="22"/>
      <w:lang w:eastAsia="zh-CN"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2</Pages>
  <Words>553</Words>
  <Characters>3042</Characters>
  <Application>Microsoft Office Word</Application>
  <DocSecurity>0</DocSecurity>
  <Lines>25</Lines>
  <Paragraphs>7</Paragraphs>
  <ScaleCrop>false</ScaleCrop>
  <Company>Aytojerez</Company>
  <LinksUpToDate>false</LinksUpToDate>
  <CharactersWithSpaces>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DEL DIA</dc:title>
  <dc:subject/>
  <dc:creator>framirez</dc:creator>
  <dc:description/>
  <cp:lastModifiedBy>Ana Isabel Maestro de Pablos</cp:lastModifiedBy>
  <cp:revision>120</cp:revision>
  <cp:lastPrinted>2026-09-16T10:59:00Z</cp:lastPrinted>
  <dcterms:created xsi:type="dcterms:W3CDTF">2008-04-18T08:06:00Z</dcterms:created>
  <dcterms:modified xsi:type="dcterms:W3CDTF">2026-10-14T08:23:00Z</dcterms:modified>
  <dc:language>es-ES</dc:language>
</cp:coreProperties>
</file>