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66D" w:rsidRDefault="009D366D" w:rsidP="009D366D">
      <w:pPr>
        <w:pStyle w:val="Textodebloque"/>
        <w:ind w:left="0" w:right="0"/>
        <w:rPr>
          <w:rFonts w:ascii="Trebuchet MS" w:hAnsi="Trebuchet MS"/>
          <w:bCs/>
          <w:szCs w:val="36"/>
        </w:rPr>
      </w:pPr>
      <w:r>
        <w:rPr>
          <w:rFonts w:ascii="Trebuchet MS" w:hAnsi="Trebuchet MS" w:cs="Arial"/>
          <w:b/>
          <w:color w:val="auto"/>
          <w:sz w:val="40"/>
          <w:szCs w:val="40"/>
        </w:rPr>
        <w:t xml:space="preserve">El </w:t>
      </w:r>
      <w:r w:rsidR="0013433C">
        <w:rPr>
          <w:rFonts w:ascii="Trebuchet MS" w:hAnsi="Trebuchet MS" w:cs="Arial"/>
          <w:b/>
          <w:color w:val="auto"/>
          <w:sz w:val="40"/>
          <w:szCs w:val="40"/>
        </w:rPr>
        <w:t>TSJA considera ajustada a Derecho la RPT del Ayuntamiento de Jerez</w:t>
      </w:r>
    </w:p>
    <w:p w:rsidR="009D366D" w:rsidRDefault="009D366D" w:rsidP="009D366D">
      <w:pPr>
        <w:rPr>
          <w:rFonts w:ascii="Trebuchet MS" w:hAnsi="Trebuchet MS"/>
          <w:bCs/>
          <w:sz w:val="36"/>
          <w:szCs w:val="36"/>
        </w:rPr>
      </w:pPr>
    </w:p>
    <w:p w:rsidR="009D366D" w:rsidRDefault="0013433C" w:rsidP="009D366D">
      <w:pPr>
        <w:rPr>
          <w:rFonts w:ascii="Trebuchet MS" w:hAnsi="Trebuchet MS"/>
          <w:bCs/>
          <w:sz w:val="36"/>
          <w:szCs w:val="36"/>
        </w:rPr>
      </w:pPr>
      <w:r>
        <w:rPr>
          <w:rFonts w:ascii="Trebuchet MS" w:hAnsi="Trebuchet MS"/>
          <w:bCs/>
          <w:sz w:val="36"/>
          <w:szCs w:val="36"/>
        </w:rPr>
        <w:t>El Gobierno local asegura que “la sentencia supone un espaldarazo al documento”</w:t>
      </w:r>
      <w:r w:rsidR="00485F05">
        <w:rPr>
          <w:rFonts w:ascii="Trebuchet MS" w:hAnsi="Trebuchet MS"/>
          <w:bCs/>
          <w:sz w:val="36"/>
          <w:szCs w:val="36"/>
        </w:rPr>
        <w:t xml:space="preserve"> </w:t>
      </w:r>
      <w:r w:rsidR="004C56AD">
        <w:rPr>
          <w:rFonts w:ascii="Trebuchet MS" w:hAnsi="Trebuchet MS"/>
          <w:bCs/>
          <w:sz w:val="36"/>
          <w:szCs w:val="36"/>
        </w:rPr>
        <w:t xml:space="preserve">y </w:t>
      </w:r>
      <w:r w:rsidR="00E531D5">
        <w:rPr>
          <w:rFonts w:ascii="Trebuchet MS" w:hAnsi="Trebuchet MS"/>
          <w:bCs/>
          <w:sz w:val="36"/>
          <w:szCs w:val="36"/>
        </w:rPr>
        <w:t>confirma</w:t>
      </w:r>
      <w:r w:rsidR="004C56AD">
        <w:rPr>
          <w:rFonts w:ascii="Trebuchet MS" w:hAnsi="Trebuchet MS"/>
          <w:bCs/>
          <w:sz w:val="36"/>
          <w:szCs w:val="36"/>
        </w:rPr>
        <w:t xml:space="preserve"> que se ha hecho conforme a la Ley</w:t>
      </w:r>
    </w:p>
    <w:p w:rsidR="0013433C" w:rsidRDefault="0013433C" w:rsidP="009D366D">
      <w:pPr>
        <w:rPr>
          <w:rFonts w:ascii="Trebuchet MS" w:hAnsi="Trebuchet MS"/>
          <w:bCs/>
          <w:sz w:val="36"/>
          <w:szCs w:val="36"/>
        </w:rPr>
      </w:pPr>
    </w:p>
    <w:p w:rsidR="0013433C" w:rsidRDefault="0013433C" w:rsidP="009D366D">
      <w:pPr>
        <w:rPr>
          <w:rFonts w:ascii="Trebuchet MS" w:hAnsi="Trebuchet MS"/>
          <w:bCs/>
          <w:sz w:val="36"/>
          <w:szCs w:val="36"/>
        </w:rPr>
      </w:pPr>
      <w:r>
        <w:rPr>
          <w:rFonts w:ascii="Trebuchet MS" w:hAnsi="Trebuchet MS"/>
          <w:bCs/>
          <w:sz w:val="36"/>
          <w:szCs w:val="36"/>
        </w:rPr>
        <w:t xml:space="preserve">El alto tribunal andaluz </w:t>
      </w:r>
      <w:r w:rsidR="00833295">
        <w:rPr>
          <w:rFonts w:ascii="Trebuchet MS" w:hAnsi="Trebuchet MS"/>
          <w:bCs/>
          <w:sz w:val="36"/>
          <w:szCs w:val="36"/>
        </w:rPr>
        <w:t>considera que existió negociación</w:t>
      </w:r>
      <w:r w:rsidR="00CE0ACB">
        <w:rPr>
          <w:rFonts w:ascii="Trebuchet MS" w:hAnsi="Trebuchet MS"/>
          <w:bCs/>
          <w:sz w:val="36"/>
          <w:szCs w:val="36"/>
        </w:rPr>
        <w:t xml:space="preserve"> “real” y entiende que</w:t>
      </w:r>
      <w:r w:rsidR="00833295">
        <w:rPr>
          <w:rFonts w:ascii="Trebuchet MS" w:hAnsi="Trebuchet MS"/>
          <w:bCs/>
          <w:sz w:val="36"/>
          <w:szCs w:val="36"/>
        </w:rPr>
        <w:t xml:space="preserve"> la valoración de los puestos </w:t>
      </w:r>
      <w:r w:rsidR="00CE0ACB">
        <w:rPr>
          <w:rFonts w:ascii="Trebuchet MS" w:hAnsi="Trebuchet MS"/>
          <w:bCs/>
          <w:sz w:val="36"/>
          <w:szCs w:val="36"/>
        </w:rPr>
        <w:t>es</w:t>
      </w:r>
      <w:r w:rsidR="00E531D5">
        <w:rPr>
          <w:rFonts w:ascii="Trebuchet MS" w:hAnsi="Trebuchet MS"/>
          <w:bCs/>
          <w:sz w:val="36"/>
          <w:szCs w:val="36"/>
        </w:rPr>
        <w:t xml:space="preserve"> la</w:t>
      </w:r>
      <w:r w:rsidR="00833295">
        <w:rPr>
          <w:rFonts w:ascii="Trebuchet MS" w:hAnsi="Trebuchet MS"/>
          <w:bCs/>
          <w:sz w:val="36"/>
          <w:szCs w:val="36"/>
        </w:rPr>
        <w:t xml:space="preserve"> correcta</w:t>
      </w:r>
    </w:p>
    <w:p w:rsidR="001A16CE" w:rsidRDefault="001A16CE" w:rsidP="009D366D">
      <w:pPr>
        <w:rPr>
          <w:rFonts w:ascii="Trebuchet MS" w:hAnsi="Trebuchet MS"/>
          <w:bCs/>
          <w:sz w:val="36"/>
          <w:szCs w:val="36"/>
        </w:rPr>
      </w:pPr>
    </w:p>
    <w:p w:rsidR="001A16CE" w:rsidRPr="005F2ED6" w:rsidRDefault="006F37E0" w:rsidP="001A16CE">
      <w:pPr>
        <w:rPr>
          <w:rFonts w:ascii="Trebuchet MS" w:hAnsi="Trebuchet MS"/>
          <w:bCs/>
          <w:sz w:val="36"/>
          <w:szCs w:val="36"/>
        </w:rPr>
      </w:pPr>
      <w:r>
        <w:rPr>
          <w:rFonts w:ascii="Trebuchet MS" w:hAnsi="Trebuchet MS"/>
          <w:bCs/>
          <w:sz w:val="36"/>
          <w:szCs w:val="36"/>
        </w:rPr>
        <w:t>El dictamen reconoce la realidad del Ayuntamiento y avala que personal laboral ocupe puestos de funcionarios</w:t>
      </w:r>
    </w:p>
    <w:p w:rsidR="001A16CE" w:rsidRDefault="001A16CE" w:rsidP="009D366D">
      <w:pPr>
        <w:rPr>
          <w:rFonts w:ascii="Trebuchet MS" w:hAnsi="Trebuchet MS"/>
          <w:bCs/>
          <w:sz w:val="36"/>
          <w:szCs w:val="36"/>
        </w:rPr>
      </w:pPr>
    </w:p>
    <w:p w:rsidR="00CE0ACB" w:rsidRDefault="00E531D5" w:rsidP="009D366D">
      <w:pPr>
        <w:rPr>
          <w:rFonts w:ascii="Trebuchet MS" w:hAnsi="Trebuchet MS"/>
          <w:bCs/>
          <w:sz w:val="36"/>
          <w:szCs w:val="36"/>
        </w:rPr>
      </w:pPr>
      <w:r>
        <w:rPr>
          <w:rFonts w:ascii="Trebuchet MS" w:hAnsi="Trebuchet MS"/>
          <w:bCs/>
          <w:sz w:val="36"/>
          <w:szCs w:val="36"/>
        </w:rPr>
        <w:t>Considera que l</w:t>
      </w:r>
      <w:r w:rsidR="001A16CE">
        <w:rPr>
          <w:rFonts w:ascii="Trebuchet MS" w:hAnsi="Trebuchet MS"/>
          <w:bCs/>
          <w:sz w:val="36"/>
          <w:szCs w:val="36"/>
        </w:rPr>
        <w:t>a libre</w:t>
      </w:r>
      <w:r w:rsidR="00CE0ACB">
        <w:rPr>
          <w:rFonts w:ascii="Trebuchet MS" w:hAnsi="Trebuchet MS"/>
          <w:bCs/>
          <w:sz w:val="36"/>
          <w:szCs w:val="36"/>
        </w:rPr>
        <w:t xml:space="preserve"> designación es conforme a Derecho</w:t>
      </w:r>
      <w:r w:rsidR="001A16CE">
        <w:rPr>
          <w:rFonts w:ascii="Trebuchet MS" w:hAnsi="Trebuchet MS"/>
          <w:bCs/>
          <w:sz w:val="36"/>
          <w:szCs w:val="36"/>
        </w:rPr>
        <w:t xml:space="preserve"> para </w:t>
      </w:r>
      <w:r w:rsidR="006F37E0">
        <w:rPr>
          <w:rFonts w:ascii="Trebuchet MS" w:hAnsi="Trebuchet MS"/>
          <w:bCs/>
          <w:sz w:val="36"/>
          <w:szCs w:val="36"/>
        </w:rPr>
        <w:t>los</w:t>
      </w:r>
      <w:r w:rsidR="001A16CE">
        <w:rPr>
          <w:rFonts w:ascii="Trebuchet MS" w:hAnsi="Trebuchet MS"/>
          <w:bCs/>
          <w:sz w:val="36"/>
          <w:szCs w:val="36"/>
        </w:rPr>
        <w:t xml:space="preserve"> puestos</w:t>
      </w:r>
      <w:r w:rsidR="006F37E0">
        <w:rPr>
          <w:rFonts w:ascii="Trebuchet MS" w:hAnsi="Trebuchet MS"/>
          <w:bCs/>
          <w:sz w:val="36"/>
          <w:szCs w:val="36"/>
        </w:rPr>
        <w:t xml:space="preserve"> previstos</w:t>
      </w:r>
      <w:r w:rsidR="00CE0ACB">
        <w:rPr>
          <w:rFonts w:ascii="Trebuchet MS" w:hAnsi="Trebuchet MS"/>
          <w:bCs/>
          <w:sz w:val="36"/>
          <w:szCs w:val="36"/>
        </w:rPr>
        <w:t xml:space="preserve"> y sólo estima</w:t>
      </w:r>
      <w:r w:rsidR="001A16CE">
        <w:rPr>
          <w:rFonts w:ascii="Trebuchet MS" w:hAnsi="Trebuchet MS"/>
          <w:bCs/>
          <w:sz w:val="36"/>
          <w:szCs w:val="36"/>
        </w:rPr>
        <w:t>,</w:t>
      </w:r>
      <w:r w:rsidR="00CE0ACB">
        <w:rPr>
          <w:rFonts w:ascii="Trebuchet MS" w:hAnsi="Trebuchet MS"/>
          <w:bCs/>
          <w:sz w:val="36"/>
          <w:szCs w:val="36"/>
        </w:rPr>
        <w:t xml:space="preserve"> por falta de motivación</w:t>
      </w:r>
      <w:r w:rsidR="006F37E0">
        <w:rPr>
          <w:rFonts w:ascii="Trebuchet MS" w:hAnsi="Trebuchet MS"/>
          <w:bCs/>
          <w:sz w:val="36"/>
          <w:szCs w:val="36"/>
        </w:rPr>
        <w:t xml:space="preserve"> suficiente</w:t>
      </w:r>
      <w:r w:rsidR="001A16CE">
        <w:rPr>
          <w:rFonts w:ascii="Trebuchet MS" w:hAnsi="Trebuchet MS"/>
          <w:bCs/>
          <w:sz w:val="36"/>
          <w:szCs w:val="36"/>
        </w:rPr>
        <w:t>,</w:t>
      </w:r>
      <w:r w:rsidR="00CE0ACB">
        <w:rPr>
          <w:rFonts w:ascii="Trebuchet MS" w:hAnsi="Trebuchet MS"/>
          <w:bCs/>
          <w:sz w:val="36"/>
          <w:szCs w:val="36"/>
        </w:rPr>
        <w:t xml:space="preserve"> el caso de los escoltas sin </w:t>
      </w:r>
      <w:r w:rsidR="001A16CE">
        <w:rPr>
          <w:rFonts w:ascii="Trebuchet MS" w:hAnsi="Trebuchet MS"/>
          <w:bCs/>
          <w:sz w:val="36"/>
          <w:szCs w:val="36"/>
        </w:rPr>
        <w:t xml:space="preserve">entrar a </w:t>
      </w:r>
      <w:r w:rsidR="00CE0ACB">
        <w:rPr>
          <w:rFonts w:ascii="Trebuchet MS" w:hAnsi="Trebuchet MS"/>
          <w:bCs/>
          <w:sz w:val="36"/>
          <w:szCs w:val="36"/>
        </w:rPr>
        <w:t xml:space="preserve">cuestionar </w:t>
      </w:r>
      <w:r w:rsidR="001A16CE">
        <w:rPr>
          <w:rFonts w:ascii="Trebuchet MS" w:hAnsi="Trebuchet MS"/>
          <w:bCs/>
          <w:sz w:val="36"/>
          <w:szCs w:val="36"/>
        </w:rPr>
        <w:t xml:space="preserve">el procedimiento </w:t>
      </w:r>
      <w:r w:rsidR="006F37E0">
        <w:rPr>
          <w:rFonts w:ascii="Trebuchet MS" w:hAnsi="Trebuchet MS"/>
          <w:bCs/>
          <w:sz w:val="36"/>
          <w:szCs w:val="36"/>
        </w:rPr>
        <w:t>llevado</w:t>
      </w:r>
      <w:r w:rsidR="001A16CE">
        <w:rPr>
          <w:rFonts w:ascii="Trebuchet MS" w:hAnsi="Trebuchet MS"/>
          <w:bCs/>
          <w:sz w:val="36"/>
          <w:szCs w:val="36"/>
        </w:rPr>
        <w:t xml:space="preserve"> a cabo</w:t>
      </w:r>
      <w:r w:rsidR="00CE0ACB">
        <w:rPr>
          <w:rFonts w:ascii="Trebuchet MS" w:hAnsi="Trebuchet MS"/>
          <w:bCs/>
          <w:sz w:val="36"/>
          <w:szCs w:val="36"/>
        </w:rPr>
        <w:t xml:space="preserve"> por convocatoria pública</w:t>
      </w:r>
    </w:p>
    <w:p w:rsidR="00CE0ACB" w:rsidRDefault="00CE0ACB" w:rsidP="009D366D">
      <w:pPr>
        <w:rPr>
          <w:rFonts w:ascii="Trebuchet MS" w:hAnsi="Trebuchet MS"/>
          <w:bCs/>
          <w:sz w:val="36"/>
          <w:szCs w:val="36"/>
        </w:rPr>
      </w:pPr>
    </w:p>
    <w:p w:rsidR="009D366D" w:rsidRDefault="009D366D" w:rsidP="009D366D">
      <w:pPr>
        <w:pStyle w:val="Sinespaciado"/>
        <w:jc w:val="both"/>
        <w:rPr>
          <w:rFonts w:ascii="Trebuchet MS" w:hAnsi="Trebuchet MS" w:cs="Arial"/>
          <w:b/>
          <w:bCs/>
          <w:sz w:val="26"/>
          <w:szCs w:val="26"/>
        </w:rPr>
      </w:pPr>
    </w:p>
    <w:p w:rsidR="006C05B7" w:rsidRDefault="00AB14DA" w:rsidP="0013433C">
      <w:pPr>
        <w:pStyle w:val="Sinespaciado"/>
        <w:jc w:val="both"/>
        <w:rPr>
          <w:rFonts w:ascii="Trebuchet MS" w:hAnsi="Trebuchet MS"/>
          <w:sz w:val="26"/>
          <w:szCs w:val="26"/>
        </w:rPr>
      </w:pPr>
      <w:r>
        <w:rPr>
          <w:rFonts w:ascii="Trebuchet MS" w:hAnsi="Trebuchet MS" w:cs="Arial"/>
          <w:b/>
          <w:bCs/>
          <w:sz w:val="26"/>
          <w:szCs w:val="26"/>
        </w:rPr>
        <w:t>19</w:t>
      </w:r>
      <w:r w:rsidR="009D366D" w:rsidRPr="003374E1">
        <w:rPr>
          <w:rFonts w:ascii="Trebuchet MS" w:hAnsi="Trebuchet MS" w:cs="Arial"/>
          <w:b/>
          <w:bCs/>
          <w:sz w:val="26"/>
          <w:szCs w:val="26"/>
        </w:rPr>
        <w:t xml:space="preserve"> de febrero de 2014</w:t>
      </w:r>
      <w:r w:rsidR="009D366D">
        <w:rPr>
          <w:rFonts w:cs="Arial"/>
          <w:bCs/>
        </w:rPr>
        <w:t>.</w:t>
      </w:r>
      <w:r w:rsidR="0013433C">
        <w:rPr>
          <w:rFonts w:ascii="Trebuchet MS" w:hAnsi="Trebuchet MS"/>
          <w:sz w:val="26"/>
          <w:szCs w:val="26"/>
        </w:rPr>
        <w:t xml:space="preserve"> El Tribunal Superior de Justicia de Andalucia (TSJA) ha dado la razón al Ayuntamiento de Jerez en el recurso presentando por el sindicato CGT contra el acuerdo de la Junta de Gobierno Local</w:t>
      </w:r>
      <w:r w:rsidR="00830C01">
        <w:rPr>
          <w:rFonts w:ascii="Trebuchet MS" w:hAnsi="Trebuchet MS"/>
          <w:sz w:val="26"/>
          <w:szCs w:val="26"/>
        </w:rPr>
        <w:t>,</w:t>
      </w:r>
      <w:r w:rsidR="0013433C">
        <w:rPr>
          <w:rFonts w:ascii="Trebuchet MS" w:hAnsi="Trebuchet MS"/>
          <w:sz w:val="26"/>
          <w:szCs w:val="26"/>
        </w:rPr>
        <w:t xml:space="preserve"> por el cual se aprobó </w:t>
      </w:r>
      <w:r w:rsidR="00830C01">
        <w:rPr>
          <w:rFonts w:ascii="Trebuchet MS" w:hAnsi="Trebuchet MS"/>
          <w:sz w:val="26"/>
          <w:szCs w:val="26"/>
        </w:rPr>
        <w:t xml:space="preserve">la Relación de Puestos de Trabajo (RPT) </w:t>
      </w:r>
      <w:r w:rsidR="0013433C">
        <w:rPr>
          <w:rFonts w:ascii="Trebuchet MS" w:hAnsi="Trebuchet MS"/>
          <w:sz w:val="26"/>
          <w:szCs w:val="26"/>
        </w:rPr>
        <w:t>de manera definitiva, e</w:t>
      </w:r>
      <w:r w:rsidR="00830C01">
        <w:rPr>
          <w:rFonts w:ascii="Trebuchet MS" w:hAnsi="Trebuchet MS"/>
          <w:sz w:val="26"/>
          <w:szCs w:val="26"/>
        </w:rPr>
        <w:t>n septiembre de 2012</w:t>
      </w:r>
      <w:r w:rsidR="0013433C">
        <w:rPr>
          <w:rFonts w:ascii="Trebuchet MS" w:hAnsi="Trebuchet MS"/>
          <w:sz w:val="26"/>
          <w:szCs w:val="26"/>
        </w:rPr>
        <w:t xml:space="preserve">. El recurso ha sido desestimado por el alto tribunal andaluz </w:t>
      </w:r>
      <w:r w:rsidR="00485F05">
        <w:rPr>
          <w:rFonts w:ascii="Trebuchet MS" w:hAnsi="Trebuchet MS"/>
          <w:sz w:val="26"/>
          <w:szCs w:val="26"/>
        </w:rPr>
        <w:t xml:space="preserve">en todos los puntos denunciados por el sindicato, </w:t>
      </w:r>
      <w:r w:rsidR="0013433C">
        <w:rPr>
          <w:rFonts w:ascii="Trebuchet MS" w:hAnsi="Trebuchet MS"/>
          <w:sz w:val="26"/>
          <w:szCs w:val="26"/>
        </w:rPr>
        <w:t xml:space="preserve">salvo en lo que se refiere a la provisión de los puestos de escoltas al entender que el sistema elegido no ha sido suficientemente motivado, considerando, por el contrario, que el resto de los puestos para los que se ha </w:t>
      </w:r>
      <w:r w:rsidR="0013433C">
        <w:rPr>
          <w:rFonts w:ascii="Trebuchet MS" w:hAnsi="Trebuchet MS"/>
          <w:sz w:val="26"/>
          <w:szCs w:val="26"/>
        </w:rPr>
        <w:lastRenderedPageBreak/>
        <w:t>utilizado el procedimiento de libre designación está plenamente just</w:t>
      </w:r>
      <w:r w:rsidR="006C05B7">
        <w:rPr>
          <w:rFonts w:ascii="Trebuchet MS" w:hAnsi="Trebuchet MS"/>
          <w:sz w:val="26"/>
          <w:szCs w:val="26"/>
        </w:rPr>
        <w:t>ificado al ajustarse a Derecho.</w:t>
      </w:r>
      <w:r w:rsidR="0013433C">
        <w:rPr>
          <w:rFonts w:ascii="Trebuchet MS" w:hAnsi="Trebuchet MS"/>
          <w:sz w:val="26"/>
          <w:szCs w:val="26"/>
        </w:rPr>
        <w:t xml:space="preserve"> </w:t>
      </w:r>
    </w:p>
    <w:p w:rsidR="006C05B7" w:rsidRDefault="006C05B7" w:rsidP="0013433C">
      <w:pPr>
        <w:pStyle w:val="Sinespaciado"/>
        <w:jc w:val="both"/>
        <w:rPr>
          <w:rFonts w:ascii="Trebuchet MS" w:hAnsi="Trebuchet MS"/>
          <w:sz w:val="26"/>
          <w:szCs w:val="26"/>
        </w:rPr>
      </w:pPr>
    </w:p>
    <w:p w:rsidR="00F94E0B" w:rsidRDefault="006C05B7" w:rsidP="0013433C">
      <w:pPr>
        <w:pStyle w:val="Sinespaciado"/>
        <w:jc w:val="both"/>
        <w:rPr>
          <w:rFonts w:ascii="Trebuchet MS" w:hAnsi="Trebuchet MS"/>
          <w:sz w:val="26"/>
          <w:szCs w:val="26"/>
        </w:rPr>
      </w:pPr>
      <w:r>
        <w:rPr>
          <w:rFonts w:ascii="Trebuchet MS" w:hAnsi="Trebuchet MS"/>
          <w:sz w:val="26"/>
          <w:szCs w:val="26"/>
        </w:rPr>
        <w:t>Cabe recordar que la</w:t>
      </w:r>
      <w:r w:rsidR="0013433C">
        <w:rPr>
          <w:rFonts w:ascii="Trebuchet MS" w:hAnsi="Trebuchet MS"/>
          <w:sz w:val="26"/>
          <w:szCs w:val="26"/>
        </w:rPr>
        <w:t xml:space="preserve"> regla general en la provisión de pu</w:t>
      </w:r>
      <w:r w:rsidR="00805955">
        <w:rPr>
          <w:rFonts w:ascii="Trebuchet MS" w:hAnsi="Trebuchet MS"/>
          <w:sz w:val="26"/>
          <w:szCs w:val="26"/>
        </w:rPr>
        <w:t>estos</w:t>
      </w:r>
      <w:r>
        <w:rPr>
          <w:rFonts w:ascii="Trebuchet MS" w:hAnsi="Trebuchet MS"/>
          <w:sz w:val="26"/>
          <w:szCs w:val="26"/>
        </w:rPr>
        <w:t xml:space="preserve"> en el Ayuntamiento de Jerez</w:t>
      </w:r>
      <w:r w:rsidR="00805955">
        <w:rPr>
          <w:rFonts w:ascii="Trebuchet MS" w:hAnsi="Trebuchet MS"/>
          <w:sz w:val="26"/>
          <w:szCs w:val="26"/>
        </w:rPr>
        <w:t xml:space="preserve"> es el concur</w:t>
      </w:r>
      <w:r>
        <w:rPr>
          <w:rFonts w:ascii="Trebuchet MS" w:hAnsi="Trebuchet MS"/>
          <w:sz w:val="26"/>
          <w:szCs w:val="26"/>
        </w:rPr>
        <w:t>so de méritos, utilizándose la libre designación</w:t>
      </w:r>
      <w:r w:rsidR="00805955">
        <w:rPr>
          <w:rFonts w:ascii="Trebuchet MS" w:hAnsi="Trebuchet MS"/>
          <w:sz w:val="26"/>
          <w:szCs w:val="26"/>
        </w:rPr>
        <w:t xml:space="preserve"> de manera excepcional</w:t>
      </w:r>
      <w:r w:rsidR="00830C01">
        <w:rPr>
          <w:rFonts w:ascii="Trebuchet MS" w:hAnsi="Trebuchet MS"/>
          <w:sz w:val="26"/>
          <w:szCs w:val="26"/>
        </w:rPr>
        <w:t>,</w:t>
      </w:r>
      <w:r w:rsidR="00805955">
        <w:rPr>
          <w:rFonts w:ascii="Trebuchet MS" w:hAnsi="Trebuchet MS"/>
          <w:sz w:val="26"/>
          <w:szCs w:val="26"/>
        </w:rPr>
        <w:t xml:space="preserve"> </w:t>
      </w:r>
      <w:r>
        <w:rPr>
          <w:rFonts w:ascii="Trebuchet MS" w:hAnsi="Trebuchet MS"/>
          <w:sz w:val="26"/>
          <w:szCs w:val="26"/>
        </w:rPr>
        <w:t xml:space="preserve">para determinados puestos </w:t>
      </w:r>
      <w:r w:rsidR="00805955">
        <w:rPr>
          <w:rFonts w:ascii="Trebuchet MS" w:hAnsi="Trebuchet MS"/>
          <w:sz w:val="26"/>
          <w:szCs w:val="26"/>
        </w:rPr>
        <w:t>atendiendo a la especial responsabilidad de los mismos</w:t>
      </w:r>
      <w:r>
        <w:rPr>
          <w:rFonts w:ascii="Trebuchet MS" w:hAnsi="Trebuchet MS"/>
          <w:sz w:val="26"/>
          <w:szCs w:val="26"/>
        </w:rPr>
        <w:t xml:space="preserve"> y a la confianza que exige el cargo</w:t>
      </w:r>
      <w:r w:rsidR="00805955">
        <w:rPr>
          <w:rFonts w:ascii="Trebuchet MS" w:hAnsi="Trebuchet MS"/>
          <w:sz w:val="26"/>
          <w:szCs w:val="26"/>
        </w:rPr>
        <w:t>.</w:t>
      </w:r>
    </w:p>
    <w:p w:rsidR="00805955" w:rsidRDefault="00805955" w:rsidP="0013433C">
      <w:pPr>
        <w:pStyle w:val="Sinespaciado"/>
        <w:jc w:val="both"/>
        <w:rPr>
          <w:rFonts w:ascii="Trebuchet MS" w:hAnsi="Trebuchet MS"/>
          <w:sz w:val="26"/>
          <w:szCs w:val="26"/>
        </w:rPr>
      </w:pPr>
    </w:p>
    <w:p w:rsidR="0013433C" w:rsidRDefault="00805955" w:rsidP="0013433C">
      <w:pPr>
        <w:pStyle w:val="Sinespaciado"/>
        <w:jc w:val="both"/>
        <w:rPr>
          <w:rFonts w:ascii="Trebuchet MS" w:hAnsi="Trebuchet MS"/>
          <w:sz w:val="26"/>
          <w:szCs w:val="26"/>
        </w:rPr>
      </w:pPr>
      <w:r>
        <w:rPr>
          <w:rFonts w:ascii="Trebuchet MS" w:hAnsi="Trebuchet MS"/>
          <w:sz w:val="26"/>
          <w:szCs w:val="26"/>
        </w:rPr>
        <w:t>El Gobierno local considera que “la sentencia del TSJ</w:t>
      </w:r>
      <w:r w:rsidR="00485F05">
        <w:rPr>
          <w:rFonts w:ascii="Trebuchet MS" w:hAnsi="Trebuchet MS"/>
          <w:sz w:val="26"/>
          <w:szCs w:val="26"/>
        </w:rPr>
        <w:t>A</w:t>
      </w:r>
      <w:r w:rsidR="007C1EC2">
        <w:rPr>
          <w:rFonts w:ascii="Trebuchet MS" w:hAnsi="Trebuchet MS"/>
          <w:sz w:val="26"/>
          <w:szCs w:val="26"/>
        </w:rPr>
        <w:t xml:space="preserve"> supone</w:t>
      </w:r>
      <w:r w:rsidR="00485F05">
        <w:rPr>
          <w:rFonts w:ascii="Trebuchet MS" w:hAnsi="Trebuchet MS"/>
          <w:sz w:val="26"/>
          <w:szCs w:val="26"/>
        </w:rPr>
        <w:t xml:space="preserve"> un espaldarazo a la RPT ya que en la misma qued</w:t>
      </w:r>
      <w:r w:rsidR="007C1EC2">
        <w:rPr>
          <w:rFonts w:ascii="Trebuchet MS" w:hAnsi="Trebuchet MS"/>
          <w:sz w:val="26"/>
          <w:szCs w:val="26"/>
        </w:rPr>
        <w:t>a acreditado</w:t>
      </w:r>
      <w:r w:rsidR="00735186">
        <w:rPr>
          <w:rFonts w:ascii="Trebuchet MS" w:hAnsi="Trebuchet MS"/>
          <w:sz w:val="26"/>
          <w:szCs w:val="26"/>
        </w:rPr>
        <w:t xml:space="preserve"> que se ha hecho conforme a la L</w:t>
      </w:r>
      <w:r w:rsidR="00054B35">
        <w:rPr>
          <w:rFonts w:ascii="Trebuchet MS" w:hAnsi="Trebuchet MS"/>
          <w:sz w:val="26"/>
          <w:szCs w:val="26"/>
        </w:rPr>
        <w:t>ey, reconocié</w:t>
      </w:r>
      <w:r w:rsidR="00735186">
        <w:rPr>
          <w:rFonts w:ascii="Trebuchet MS" w:hAnsi="Trebuchet MS"/>
          <w:sz w:val="26"/>
          <w:szCs w:val="26"/>
        </w:rPr>
        <w:t>ndo</w:t>
      </w:r>
      <w:r w:rsidR="00054B35">
        <w:rPr>
          <w:rFonts w:ascii="Trebuchet MS" w:hAnsi="Trebuchet MS"/>
          <w:sz w:val="26"/>
          <w:szCs w:val="26"/>
        </w:rPr>
        <w:t>se</w:t>
      </w:r>
      <w:r w:rsidR="00735186">
        <w:rPr>
          <w:rFonts w:ascii="Trebuchet MS" w:hAnsi="Trebuchet MS"/>
          <w:sz w:val="26"/>
          <w:szCs w:val="26"/>
        </w:rPr>
        <w:t xml:space="preserve"> además</w:t>
      </w:r>
      <w:r w:rsidR="007C1EC2">
        <w:rPr>
          <w:rFonts w:ascii="Trebuchet MS" w:hAnsi="Trebuchet MS"/>
          <w:sz w:val="26"/>
          <w:szCs w:val="26"/>
        </w:rPr>
        <w:t xml:space="preserve"> la voluntad negociadora</w:t>
      </w:r>
      <w:r w:rsidR="00B836AE">
        <w:rPr>
          <w:rFonts w:ascii="Trebuchet MS" w:hAnsi="Trebuchet MS"/>
          <w:sz w:val="26"/>
          <w:szCs w:val="26"/>
        </w:rPr>
        <w:t>,</w:t>
      </w:r>
      <w:r w:rsidR="007C1EC2">
        <w:rPr>
          <w:rFonts w:ascii="Trebuchet MS" w:hAnsi="Trebuchet MS"/>
          <w:sz w:val="26"/>
          <w:szCs w:val="26"/>
        </w:rPr>
        <w:t xml:space="preserve"> con existencia</w:t>
      </w:r>
      <w:r w:rsidR="00485F05">
        <w:rPr>
          <w:rFonts w:ascii="Trebuchet MS" w:hAnsi="Trebuchet MS"/>
          <w:sz w:val="26"/>
          <w:szCs w:val="26"/>
        </w:rPr>
        <w:t xml:space="preserve"> real de negociación y, por tanto, </w:t>
      </w:r>
      <w:r w:rsidR="00054B35">
        <w:rPr>
          <w:rFonts w:ascii="Trebuchet MS" w:hAnsi="Trebuchet MS"/>
          <w:sz w:val="26"/>
          <w:szCs w:val="26"/>
        </w:rPr>
        <w:t xml:space="preserve">ha </w:t>
      </w:r>
      <w:r w:rsidR="00B836AE">
        <w:rPr>
          <w:rFonts w:ascii="Trebuchet MS" w:hAnsi="Trebuchet MS"/>
          <w:sz w:val="26"/>
          <w:szCs w:val="26"/>
        </w:rPr>
        <w:t>que</w:t>
      </w:r>
      <w:r w:rsidR="00B64073">
        <w:rPr>
          <w:rFonts w:ascii="Trebuchet MS" w:hAnsi="Trebuchet MS"/>
          <w:sz w:val="26"/>
          <w:szCs w:val="26"/>
        </w:rPr>
        <w:t>da</w:t>
      </w:r>
      <w:r w:rsidR="00054B35">
        <w:rPr>
          <w:rFonts w:ascii="Trebuchet MS" w:hAnsi="Trebuchet MS"/>
          <w:sz w:val="26"/>
          <w:szCs w:val="26"/>
        </w:rPr>
        <w:t>do</w:t>
      </w:r>
      <w:r w:rsidR="00B64073">
        <w:rPr>
          <w:rFonts w:ascii="Trebuchet MS" w:hAnsi="Trebuchet MS"/>
          <w:sz w:val="26"/>
          <w:szCs w:val="26"/>
        </w:rPr>
        <w:t xml:space="preserve"> también</w:t>
      </w:r>
      <w:r w:rsidR="00B836AE">
        <w:rPr>
          <w:rFonts w:ascii="Trebuchet MS" w:hAnsi="Trebuchet MS"/>
          <w:sz w:val="26"/>
          <w:szCs w:val="26"/>
        </w:rPr>
        <w:t xml:space="preserve"> claro que </w:t>
      </w:r>
      <w:r w:rsidR="00485F05">
        <w:rPr>
          <w:rFonts w:ascii="Trebuchet MS" w:hAnsi="Trebuchet MS"/>
          <w:sz w:val="26"/>
          <w:szCs w:val="26"/>
        </w:rPr>
        <w:t>no se vul</w:t>
      </w:r>
      <w:r w:rsidR="007C1EC2">
        <w:rPr>
          <w:rFonts w:ascii="Trebuchet MS" w:hAnsi="Trebuchet MS"/>
          <w:sz w:val="26"/>
          <w:szCs w:val="26"/>
        </w:rPr>
        <w:t>neró el derecho a la misma</w:t>
      </w:r>
      <w:r w:rsidR="00B64073">
        <w:rPr>
          <w:rFonts w:ascii="Trebuchet MS" w:hAnsi="Trebuchet MS"/>
          <w:sz w:val="26"/>
          <w:szCs w:val="26"/>
        </w:rPr>
        <w:t>”.</w:t>
      </w:r>
      <w:r w:rsidR="00485F05">
        <w:rPr>
          <w:rFonts w:ascii="Trebuchet MS" w:hAnsi="Trebuchet MS"/>
          <w:sz w:val="26"/>
          <w:szCs w:val="26"/>
        </w:rPr>
        <w:t xml:space="preserve"> </w:t>
      </w:r>
      <w:r w:rsidR="00B64073">
        <w:rPr>
          <w:rFonts w:ascii="Trebuchet MS" w:hAnsi="Trebuchet MS"/>
          <w:sz w:val="26"/>
          <w:szCs w:val="26"/>
        </w:rPr>
        <w:t>“A</w:t>
      </w:r>
      <w:r w:rsidR="00485F05">
        <w:rPr>
          <w:rFonts w:ascii="Trebuchet MS" w:hAnsi="Trebuchet MS"/>
          <w:sz w:val="26"/>
          <w:szCs w:val="26"/>
        </w:rPr>
        <w:t>demás</w:t>
      </w:r>
      <w:r w:rsidR="00B64073">
        <w:rPr>
          <w:rFonts w:ascii="Trebuchet MS" w:hAnsi="Trebuchet MS"/>
          <w:sz w:val="26"/>
          <w:szCs w:val="26"/>
        </w:rPr>
        <w:t>,</w:t>
      </w:r>
      <w:r w:rsidR="00B836AE">
        <w:rPr>
          <w:rFonts w:ascii="Trebuchet MS" w:hAnsi="Trebuchet MS"/>
          <w:sz w:val="26"/>
          <w:szCs w:val="26"/>
        </w:rPr>
        <w:t xml:space="preserve"> confirma que</w:t>
      </w:r>
      <w:r w:rsidR="00485F05">
        <w:rPr>
          <w:rFonts w:ascii="Trebuchet MS" w:hAnsi="Trebuchet MS"/>
          <w:sz w:val="26"/>
          <w:szCs w:val="26"/>
        </w:rPr>
        <w:t xml:space="preserve"> la valoración de los puestos de trabajo se hizo correctamente, al igual que </w:t>
      </w:r>
      <w:r w:rsidR="004D47D3">
        <w:rPr>
          <w:rFonts w:ascii="Trebuchet MS" w:hAnsi="Trebuchet MS"/>
          <w:sz w:val="26"/>
          <w:szCs w:val="26"/>
        </w:rPr>
        <w:t xml:space="preserve">se </w:t>
      </w:r>
      <w:r w:rsidR="00B64073">
        <w:rPr>
          <w:rFonts w:ascii="Trebuchet MS" w:hAnsi="Trebuchet MS"/>
          <w:sz w:val="26"/>
          <w:szCs w:val="26"/>
        </w:rPr>
        <w:t>reconoce</w:t>
      </w:r>
      <w:r w:rsidR="00485F05">
        <w:rPr>
          <w:rFonts w:ascii="Trebuchet MS" w:hAnsi="Trebuchet MS"/>
          <w:sz w:val="26"/>
          <w:szCs w:val="26"/>
        </w:rPr>
        <w:t xml:space="preserve"> la especial situación del Ayuntamiento de Jerez</w:t>
      </w:r>
      <w:r w:rsidR="004D47D3">
        <w:rPr>
          <w:rFonts w:ascii="Trebuchet MS" w:hAnsi="Trebuchet MS"/>
          <w:sz w:val="26"/>
          <w:szCs w:val="26"/>
        </w:rPr>
        <w:t>,</w:t>
      </w:r>
      <w:r w:rsidR="00485F05">
        <w:rPr>
          <w:rFonts w:ascii="Trebuchet MS" w:hAnsi="Trebuchet MS"/>
          <w:sz w:val="26"/>
          <w:szCs w:val="26"/>
        </w:rPr>
        <w:t xml:space="preserve"> </w:t>
      </w:r>
      <w:r w:rsidR="00B64073">
        <w:rPr>
          <w:rFonts w:ascii="Trebuchet MS" w:hAnsi="Trebuchet MS"/>
          <w:sz w:val="26"/>
          <w:szCs w:val="26"/>
        </w:rPr>
        <w:t>dando</w:t>
      </w:r>
      <w:r w:rsidR="00485F05">
        <w:rPr>
          <w:rFonts w:ascii="Trebuchet MS" w:hAnsi="Trebuchet MS"/>
          <w:sz w:val="26"/>
          <w:szCs w:val="26"/>
        </w:rPr>
        <w:t xml:space="preserve"> la posibilidad de que de forma provisional el personal laboral pueda ocupar puestos de funcionarios, tal y como se recoge en la modificación que se hizo de la RPT</w:t>
      </w:r>
      <w:r w:rsidR="007C1EC2">
        <w:rPr>
          <w:rFonts w:ascii="Trebuchet MS" w:hAnsi="Trebuchet MS"/>
          <w:sz w:val="26"/>
          <w:szCs w:val="26"/>
        </w:rPr>
        <w:t>,</w:t>
      </w:r>
      <w:r w:rsidR="004D47D3">
        <w:rPr>
          <w:rFonts w:ascii="Trebuchet MS" w:hAnsi="Trebuchet MS"/>
          <w:sz w:val="26"/>
          <w:szCs w:val="26"/>
        </w:rPr>
        <w:t xml:space="preserve"> en enero de 2013</w:t>
      </w:r>
      <w:r w:rsidR="007C1EC2">
        <w:rPr>
          <w:rFonts w:ascii="Trebuchet MS" w:hAnsi="Trebuchet MS"/>
          <w:sz w:val="26"/>
          <w:szCs w:val="26"/>
        </w:rPr>
        <w:t>,</w:t>
      </w:r>
      <w:r w:rsidR="004D47D3">
        <w:rPr>
          <w:rFonts w:ascii="Trebuchet MS" w:hAnsi="Trebuchet MS"/>
          <w:sz w:val="26"/>
          <w:szCs w:val="26"/>
        </w:rPr>
        <w:t xml:space="preserve"> para garantizar el funcionamiento del Ayuntamiento dado el escaso número de funcionarios</w:t>
      </w:r>
      <w:r w:rsidR="00485F05">
        <w:rPr>
          <w:rFonts w:ascii="Trebuchet MS" w:hAnsi="Trebuchet MS"/>
          <w:sz w:val="26"/>
          <w:szCs w:val="26"/>
        </w:rPr>
        <w:t>”</w:t>
      </w:r>
      <w:r w:rsidR="00B64073">
        <w:rPr>
          <w:rFonts w:ascii="Trebuchet MS" w:hAnsi="Trebuchet MS"/>
          <w:sz w:val="26"/>
          <w:szCs w:val="26"/>
        </w:rPr>
        <w:t>, destaca el Ejecutivo</w:t>
      </w:r>
      <w:r w:rsidR="00485F05">
        <w:rPr>
          <w:rFonts w:ascii="Trebuchet MS" w:hAnsi="Trebuchet MS"/>
          <w:sz w:val="26"/>
          <w:szCs w:val="26"/>
        </w:rPr>
        <w:t>.</w:t>
      </w:r>
    </w:p>
    <w:p w:rsidR="00FD6F91" w:rsidRDefault="00FD6F91" w:rsidP="0013433C">
      <w:pPr>
        <w:pStyle w:val="Sinespaciado"/>
        <w:jc w:val="both"/>
        <w:rPr>
          <w:rFonts w:ascii="Trebuchet MS" w:hAnsi="Trebuchet MS"/>
          <w:sz w:val="26"/>
          <w:szCs w:val="26"/>
        </w:rPr>
      </w:pPr>
    </w:p>
    <w:p w:rsidR="00FD6F91" w:rsidRDefault="00B64073" w:rsidP="00FD6F91">
      <w:pPr>
        <w:pStyle w:val="Sinespaciado"/>
        <w:jc w:val="both"/>
        <w:rPr>
          <w:rFonts w:ascii="Trebuchet MS" w:hAnsi="Trebuchet MS"/>
          <w:sz w:val="26"/>
          <w:szCs w:val="26"/>
        </w:rPr>
      </w:pPr>
      <w:r>
        <w:rPr>
          <w:rFonts w:ascii="Trebuchet MS" w:hAnsi="Trebuchet MS"/>
          <w:sz w:val="26"/>
          <w:szCs w:val="26"/>
        </w:rPr>
        <w:t>El Gobierno</w:t>
      </w:r>
      <w:r w:rsidR="00FD6F91">
        <w:rPr>
          <w:rFonts w:ascii="Trebuchet MS" w:hAnsi="Trebuchet MS"/>
          <w:sz w:val="26"/>
          <w:szCs w:val="26"/>
        </w:rPr>
        <w:t xml:space="preserve"> considera igualmente importante que “el TSJA haya dictaminado que el procedimiento de lib</w:t>
      </w:r>
      <w:r>
        <w:rPr>
          <w:rFonts w:ascii="Trebuchet MS" w:hAnsi="Trebuchet MS"/>
          <w:sz w:val="26"/>
          <w:szCs w:val="26"/>
        </w:rPr>
        <w:t>re designación para los</w:t>
      </w:r>
      <w:r w:rsidR="00FD6F91">
        <w:rPr>
          <w:rFonts w:ascii="Trebuchet MS" w:hAnsi="Trebuchet MS"/>
          <w:sz w:val="26"/>
          <w:szCs w:val="26"/>
        </w:rPr>
        <w:t xml:space="preserve"> puestos</w:t>
      </w:r>
      <w:r>
        <w:rPr>
          <w:rFonts w:ascii="Trebuchet MS" w:hAnsi="Trebuchet MS"/>
          <w:sz w:val="26"/>
          <w:szCs w:val="26"/>
        </w:rPr>
        <w:t xml:space="preserve"> previstos se ajusta a Derecho y, por tanto, está plenamente justificada,</w:t>
      </w:r>
      <w:r w:rsidR="00FD6F91">
        <w:rPr>
          <w:rFonts w:ascii="Trebuchet MS" w:hAnsi="Trebuchet MS"/>
          <w:sz w:val="26"/>
          <w:szCs w:val="26"/>
        </w:rPr>
        <w:t xml:space="preserve"> estimándose únicamente la demanda en lo que se refiere a los escoltas, y cuestionando solamente la motivación que justifica la opción por este sistema, sin que se haya cuestionado el procedimiento en sí”. </w:t>
      </w:r>
    </w:p>
    <w:p w:rsidR="00FD6F91" w:rsidRDefault="00FD6F91" w:rsidP="00FD6F91">
      <w:pPr>
        <w:pStyle w:val="Sinespaciado"/>
        <w:jc w:val="both"/>
        <w:rPr>
          <w:rFonts w:ascii="Trebuchet MS" w:hAnsi="Trebuchet MS"/>
          <w:sz w:val="26"/>
          <w:szCs w:val="26"/>
        </w:rPr>
      </w:pPr>
    </w:p>
    <w:p w:rsidR="00FD6F91" w:rsidRDefault="00FD6F91" w:rsidP="00FD6F91">
      <w:pPr>
        <w:pStyle w:val="Sinespaciado"/>
        <w:jc w:val="both"/>
        <w:rPr>
          <w:rFonts w:ascii="Trebuchet MS" w:hAnsi="Trebuchet MS"/>
          <w:sz w:val="26"/>
          <w:szCs w:val="26"/>
        </w:rPr>
      </w:pPr>
      <w:r>
        <w:rPr>
          <w:rFonts w:ascii="Trebuchet MS" w:hAnsi="Trebuchet MS"/>
          <w:sz w:val="26"/>
          <w:szCs w:val="26"/>
        </w:rPr>
        <w:t>Según explica el Ejecutivo, “este procedimiento cumplió con todas las garantías legalmente previstas, ya que la provisión se hizo a través de convocatoria pública acordada por Junta de Gobierno Local y con todas las garantías de publicidad y de procedimiento previstas en la ley”. Sobre este punto, el Gobierno aclara también que se está estudiando jurídicamente la ejecución de la sentencia y, por tanto, su cumplimiento en esta cuestión.</w:t>
      </w:r>
    </w:p>
    <w:p w:rsidR="00FD6F91" w:rsidRDefault="00FD6F91" w:rsidP="0013433C">
      <w:pPr>
        <w:pStyle w:val="Sinespaciado"/>
        <w:jc w:val="both"/>
        <w:rPr>
          <w:rFonts w:ascii="Trebuchet MS" w:hAnsi="Trebuchet MS"/>
          <w:sz w:val="26"/>
          <w:szCs w:val="26"/>
        </w:rPr>
      </w:pPr>
    </w:p>
    <w:p w:rsidR="007C1EC2" w:rsidRDefault="00B836AE" w:rsidP="0013433C">
      <w:pPr>
        <w:pStyle w:val="Sinespaciado"/>
        <w:jc w:val="both"/>
        <w:rPr>
          <w:rFonts w:ascii="Trebuchet MS" w:hAnsi="Trebuchet MS"/>
          <w:sz w:val="26"/>
          <w:szCs w:val="26"/>
        </w:rPr>
      </w:pPr>
      <w:r>
        <w:rPr>
          <w:rFonts w:ascii="Trebuchet MS" w:hAnsi="Trebuchet MS"/>
          <w:sz w:val="26"/>
          <w:szCs w:val="26"/>
        </w:rPr>
        <w:t>El</w:t>
      </w:r>
      <w:r w:rsidR="000B4AE9">
        <w:rPr>
          <w:rFonts w:ascii="Trebuchet MS" w:hAnsi="Trebuchet MS"/>
          <w:sz w:val="26"/>
          <w:szCs w:val="26"/>
        </w:rPr>
        <w:t xml:space="preserve"> TSJA, tras dejar</w:t>
      </w:r>
      <w:r w:rsidR="004D47D3">
        <w:rPr>
          <w:rFonts w:ascii="Trebuchet MS" w:hAnsi="Trebuchet MS"/>
          <w:sz w:val="26"/>
          <w:szCs w:val="26"/>
        </w:rPr>
        <w:t xml:space="preserve"> clara la utilidad d</w:t>
      </w:r>
      <w:r w:rsidR="007C1EC2">
        <w:rPr>
          <w:rFonts w:ascii="Trebuchet MS" w:hAnsi="Trebuchet MS"/>
          <w:sz w:val="26"/>
          <w:szCs w:val="26"/>
        </w:rPr>
        <w:t xml:space="preserve">e la RPT </w:t>
      </w:r>
      <w:r w:rsidR="004D47D3">
        <w:rPr>
          <w:rFonts w:ascii="Trebuchet MS" w:hAnsi="Trebuchet MS"/>
          <w:sz w:val="26"/>
          <w:szCs w:val="26"/>
        </w:rPr>
        <w:t>como instrumento técnico legalmente previsto para llevar a cabo la ordenación del personal,</w:t>
      </w:r>
      <w:r w:rsidR="000B4AE9">
        <w:rPr>
          <w:rFonts w:ascii="Trebuchet MS" w:hAnsi="Trebuchet MS"/>
          <w:sz w:val="26"/>
          <w:szCs w:val="26"/>
        </w:rPr>
        <w:t xml:space="preserve"> considera que el resto de los puntos denunciados por el sindicato deben ser </w:t>
      </w:r>
      <w:r w:rsidR="007C1EC2">
        <w:rPr>
          <w:rFonts w:ascii="Trebuchet MS" w:hAnsi="Trebuchet MS"/>
          <w:sz w:val="26"/>
          <w:szCs w:val="26"/>
        </w:rPr>
        <w:t>desestimados</w:t>
      </w:r>
      <w:r w:rsidR="000B4AE9">
        <w:rPr>
          <w:rFonts w:ascii="Trebuchet MS" w:hAnsi="Trebuchet MS"/>
          <w:sz w:val="26"/>
          <w:szCs w:val="26"/>
        </w:rPr>
        <w:t xml:space="preserve">. De esta </w:t>
      </w:r>
      <w:r w:rsidR="000B4AE9">
        <w:rPr>
          <w:rFonts w:ascii="Trebuchet MS" w:hAnsi="Trebuchet MS"/>
          <w:sz w:val="26"/>
          <w:szCs w:val="26"/>
        </w:rPr>
        <w:lastRenderedPageBreak/>
        <w:t>manera, entiende y justifica, atendiendo a las numerosas ocasiones en las que fue convocada la Mesa General de Negociación, la existencia “real” de negociación y declara</w:t>
      </w:r>
      <w:r w:rsidR="007C1EC2">
        <w:rPr>
          <w:rFonts w:ascii="Trebuchet MS" w:hAnsi="Trebuchet MS"/>
          <w:sz w:val="26"/>
          <w:szCs w:val="26"/>
        </w:rPr>
        <w:t xml:space="preserve"> que</w:t>
      </w:r>
      <w:r w:rsidR="000B4AE9">
        <w:rPr>
          <w:rFonts w:ascii="Trebuchet MS" w:hAnsi="Trebuchet MS"/>
          <w:sz w:val="26"/>
          <w:szCs w:val="26"/>
        </w:rPr>
        <w:t xml:space="preserve"> no se ha vulnerado el derecho a la negociación por cuanto se ha garantiz</w:t>
      </w:r>
      <w:r w:rsidR="007C1EC2">
        <w:rPr>
          <w:rFonts w:ascii="Trebuchet MS" w:hAnsi="Trebuchet MS"/>
          <w:sz w:val="26"/>
          <w:szCs w:val="26"/>
        </w:rPr>
        <w:t>ado el sometimiento del documento</w:t>
      </w:r>
      <w:r w:rsidR="000B4AE9">
        <w:rPr>
          <w:rFonts w:ascii="Trebuchet MS" w:hAnsi="Trebuchet MS"/>
          <w:sz w:val="26"/>
          <w:szCs w:val="26"/>
        </w:rPr>
        <w:t xml:space="preserve"> a la negociación con sus representantes, con independencia del resultado. </w:t>
      </w:r>
    </w:p>
    <w:p w:rsidR="007C1EC2" w:rsidRDefault="007C1EC2" w:rsidP="0013433C">
      <w:pPr>
        <w:pStyle w:val="Sinespaciado"/>
        <w:jc w:val="both"/>
        <w:rPr>
          <w:rFonts w:ascii="Trebuchet MS" w:hAnsi="Trebuchet MS"/>
          <w:sz w:val="26"/>
          <w:szCs w:val="26"/>
        </w:rPr>
      </w:pPr>
    </w:p>
    <w:p w:rsidR="000B4AE9" w:rsidRDefault="000B4AE9" w:rsidP="0013433C">
      <w:pPr>
        <w:pStyle w:val="Sinespaciado"/>
        <w:jc w:val="both"/>
        <w:rPr>
          <w:rFonts w:ascii="Trebuchet MS" w:hAnsi="Trebuchet MS"/>
          <w:sz w:val="26"/>
          <w:szCs w:val="26"/>
        </w:rPr>
      </w:pPr>
      <w:r>
        <w:rPr>
          <w:rFonts w:ascii="Trebuchet MS" w:hAnsi="Trebuchet MS"/>
          <w:sz w:val="26"/>
          <w:szCs w:val="26"/>
        </w:rPr>
        <w:t>En la misma sentencia, el alto tribunal andaluz alude a la falta de quórum para la celebración de las reuniones por ausencia de re</w:t>
      </w:r>
      <w:r w:rsidR="00B64073">
        <w:rPr>
          <w:rFonts w:ascii="Trebuchet MS" w:hAnsi="Trebuchet MS"/>
          <w:sz w:val="26"/>
          <w:szCs w:val="26"/>
        </w:rPr>
        <w:t>presentantes sindicales, y añade</w:t>
      </w:r>
      <w:r>
        <w:rPr>
          <w:rFonts w:ascii="Trebuchet MS" w:hAnsi="Trebuchet MS"/>
          <w:sz w:val="26"/>
          <w:szCs w:val="26"/>
        </w:rPr>
        <w:t xml:space="preserve"> “entre ellos el sindicato recurrente”.</w:t>
      </w:r>
    </w:p>
    <w:p w:rsidR="00726BDF" w:rsidRDefault="00726BDF" w:rsidP="0013433C">
      <w:pPr>
        <w:pStyle w:val="Sinespaciado"/>
        <w:jc w:val="both"/>
        <w:rPr>
          <w:rFonts w:ascii="Trebuchet MS" w:hAnsi="Trebuchet MS"/>
          <w:sz w:val="26"/>
          <w:szCs w:val="26"/>
        </w:rPr>
      </w:pPr>
    </w:p>
    <w:p w:rsidR="000B4AE9" w:rsidRDefault="000B4AE9" w:rsidP="0013433C">
      <w:pPr>
        <w:pStyle w:val="Sinespaciado"/>
        <w:jc w:val="both"/>
        <w:rPr>
          <w:rFonts w:ascii="Trebuchet MS" w:hAnsi="Trebuchet MS"/>
          <w:sz w:val="26"/>
          <w:szCs w:val="26"/>
        </w:rPr>
      </w:pPr>
      <w:r>
        <w:rPr>
          <w:rFonts w:ascii="Trebuchet MS" w:hAnsi="Trebuchet MS"/>
          <w:sz w:val="26"/>
          <w:szCs w:val="26"/>
        </w:rPr>
        <w:t>Asimismo, en la sentencia el TSJA considera que todos los puestos están suficientemente valorados de manera individualizada, por lo que desestima también el punto en el que el sindicato alega la falta de valoración de los mismos.</w:t>
      </w:r>
    </w:p>
    <w:p w:rsidR="000B4AE9" w:rsidRDefault="000B4AE9" w:rsidP="0013433C">
      <w:pPr>
        <w:pStyle w:val="Sinespaciado"/>
        <w:jc w:val="both"/>
        <w:rPr>
          <w:rFonts w:ascii="Trebuchet MS" w:hAnsi="Trebuchet MS"/>
          <w:sz w:val="26"/>
          <w:szCs w:val="26"/>
        </w:rPr>
      </w:pPr>
    </w:p>
    <w:p w:rsidR="004827C2" w:rsidRDefault="00C90698" w:rsidP="0013433C">
      <w:pPr>
        <w:pStyle w:val="Sinespaciado"/>
        <w:jc w:val="both"/>
        <w:rPr>
          <w:rFonts w:ascii="Trebuchet MS" w:hAnsi="Trebuchet MS"/>
          <w:sz w:val="26"/>
          <w:szCs w:val="26"/>
        </w:rPr>
      </w:pPr>
      <w:r>
        <w:rPr>
          <w:rFonts w:ascii="Trebuchet MS" w:hAnsi="Trebuchet MS"/>
          <w:sz w:val="26"/>
          <w:szCs w:val="26"/>
        </w:rPr>
        <w:t>Igualmente, en el dictamen de los jueces</w:t>
      </w:r>
      <w:r w:rsidR="004827C2">
        <w:rPr>
          <w:rFonts w:ascii="Trebuchet MS" w:hAnsi="Trebuchet MS"/>
          <w:sz w:val="26"/>
          <w:szCs w:val="26"/>
        </w:rPr>
        <w:t xml:space="preserve"> se considera que el procedimiento de libre designación para determinados puestos, en atención a su especial</w:t>
      </w:r>
      <w:r w:rsidR="007C1EC2">
        <w:rPr>
          <w:rFonts w:ascii="Trebuchet MS" w:hAnsi="Trebuchet MS"/>
          <w:sz w:val="26"/>
          <w:szCs w:val="26"/>
        </w:rPr>
        <w:t xml:space="preserve"> responsabilidad y confianza, se</w:t>
      </w:r>
      <w:r w:rsidR="004827C2">
        <w:rPr>
          <w:rFonts w:ascii="Trebuchet MS" w:hAnsi="Trebuchet MS"/>
          <w:sz w:val="26"/>
          <w:szCs w:val="26"/>
        </w:rPr>
        <w:t xml:space="preserve"> ajusta a Derecho y está, por tanto, justificado, ya que, según reconoce en la sentencia, se utiliza de forma excepcional, siendo la generalidad el concurso de méritos. </w:t>
      </w:r>
    </w:p>
    <w:p w:rsidR="004827C2" w:rsidRDefault="004827C2" w:rsidP="0013433C">
      <w:pPr>
        <w:pStyle w:val="Sinespaciado"/>
        <w:jc w:val="both"/>
        <w:rPr>
          <w:rFonts w:ascii="Trebuchet MS" w:hAnsi="Trebuchet MS"/>
          <w:sz w:val="26"/>
          <w:szCs w:val="26"/>
        </w:rPr>
      </w:pPr>
    </w:p>
    <w:p w:rsidR="0013433C" w:rsidRDefault="004827C2" w:rsidP="0013433C">
      <w:pPr>
        <w:pStyle w:val="Sinespaciado"/>
        <w:jc w:val="both"/>
        <w:rPr>
          <w:rFonts w:ascii="Trebuchet MS" w:hAnsi="Trebuchet MS"/>
          <w:sz w:val="26"/>
          <w:szCs w:val="26"/>
        </w:rPr>
      </w:pPr>
      <w:r>
        <w:rPr>
          <w:rFonts w:ascii="Trebuchet MS" w:hAnsi="Trebuchet MS"/>
          <w:sz w:val="26"/>
          <w:szCs w:val="26"/>
        </w:rPr>
        <w:t>Conforme a este argumento, la sentencia admite el uso de este pr</w:t>
      </w:r>
      <w:r w:rsidR="007C1EC2">
        <w:rPr>
          <w:rFonts w:ascii="Trebuchet MS" w:hAnsi="Trebuchet MS"/>
          <w:sz w:val="26"/>
          <w:szCs w:val="26"/>
        </w:rPr>
        <w:t xml:space="preserve">ocedimiento para los puestos </w:t>
      </w:r>
      <w:r>
        <w:rPr>
          <w:rFonts w:ascii="Trebuchet MS" w:hAnsi="Trebuchet MS"/>
          <w:sz w:val="26"/>
          <w:szCs w:val="26"/>
        </w:rPr>
        <w:t>de carácter directivo (coordinadores generales y titular de la asesoría jurídica); el jefe de la Policía Local, por su especial responsabilidad; las direcciones de servicio,</w:t>
      </w:r>
      <w:r w:rsidR="000B4AE9">
        <w:rPr>
          <w:rFonts w:ascii="Trebuchet MS" w:hAnsi="Trebuchet MS"/>
          <w:sz w:val="26"/>
          <w:szCs w:val="26"/>
        </w:rPr>
        <w:t xml:space="preserve"> </w:t>
      </w:r>
      <w:r>
        <w:rPr>
          <w:rFonts w:ascii="Trebuchet MS" w:hAnsi="Trebuchet MS"/>
          <w:sz w:val="26"/>
          <w:szCs w:val="26"/>
        </w:rPr>
        <w:t>por entender que son puestos de responsabilidad en cuanto que dirigen los servicios y procuran el cumplimiento de las directrices políticas del Ayuntam</w:t>
      </w:r>
      <w:r w:rsidR="00B4151E">
        <w:rPr>
          <w:rFonts w:ascii="Trebuchet MS" w:hAnsi="Trebuchet MS"/>
          <w:sz w:val="26"/>
          <w:szCs w:val="26"/>
        </w:rPr>
        <w:t xml:space="preserve">iento; </w:t>
      </w:r>
      <w:r>
        <w:rPr>
          <w:rFonts w:ascii="Trebuchet MS" w:hAnsi="Trebuchet MS"/>
          <w:sz w:val="26"/>
          <w:szCs w:val="26"/>
        </w:rPr>
        <w:t>los puestos de secretario</w:t>
      </w:r>
      <w:r w:rsidR="00B4151E">
        <w:rPr>
          <w:rFonts w:ascii="Trebuchet MS" w:hAnsi="Trebuchet MS"/>
          <w:sz w:val="26"/>
          <w:szCs w:val="26"/>
        </w:rPr>
        <w:t xml:space="preserve"> y secretaria</w:t>
      </w:r>
      <w:r>
        <w:rPr>
          <w:rFonts w:ascii="Trebuchet MS" w:hAnsi="Trebuchet MS"/>
          <w:sz w:val="26"/>
          <w:szCs w:val="26"/>
        </w:rPr>
        <w:t xml:space="preserve"> de órganos directivos, que han sido motivados por la confianza</w:t>
      </w:r>
      <w:r w:rsidR="00076FB3">
        <w:rPr>
          <w:rFonts w:ascii="Trebuchet MS" w:hAnsi="Trebuchet MS"/>
          <w:sz w:val="26"/>
          <w:szCs w:val="26"/>
        </w:rPr>
        <w:t xml:space="preserve"> en el puesto en el que sirve, </w:t>
      </w:r>
      <w:r w:rsidR="00054B35">
        <w:rPr>
          <w:rFonts w:ascii="Trebuchet MS" w:hAnsi="Trebuchet MS"/>
          <w:sz w:val="26"/>
          <w:szCs w:val="26"/>
        </w:rPr>
        <w:t>“encontrándose</w:t>
      </w:r>
      <w:r w:rsidR="00076FB3">
        <w:rPr>
          <w:rFonts w:ascii="Trebuchet MS" w:hAnsi="Trebuchet MS"/>
          <w:sz w:val="26"/>
          <w:szCs w:val="26"/>
        </w:rPr>
        <w:t xml:space="preserve"> dicha previsión expresamente recogida dentro de los límites excepcionale</w:t>
      </w:r>
      <w:r w:rsidR="00B4151E">
        <w:rPr>
          <w:rFonts w:ascii="Trebuchet MS" w:hAnsi="Trebuchet MS"/>
          <w:sz w:val="26"/>
          <w:szCs w:val="26"/>
        </w:rPr>
        <w:t>s fijados por la jurisprudencia”</w:t>
      </w:r>
      <w:r w:rsidR="00076FB3">
        <w:rPr>
          <w:rFonts w:ascii="Trebuchet MS" w:hAnsi="Trebuchet MS"/>
          <w:sz w:val="26"/>
          <w:szCs w:val="26"/>
        </w:rPr>
        <w:t>.</w:t>
      </w:r>
    </w:p>
    <w:p w:rsidR="00076FB3" w:rsidRDefault="00076FB3" w:rsidP="0013433C">
      <w:pPr>
        <w:pStyle w:val="Sinespaciado"/>
        <w:jc w:val="both"/>
        <w:rPr>
          <w:rFonts w:ascii="Trebuchet MS" w:hAnsi="Trebuchet MS"/>
          <w:sz w:val="26"/>
          <w:szCs w:val="26"/>
        </w:rPr>
      </w:pPr>
    </w:p>
    <w:p w:rsidR="00076FB3" w:rsidRDefault="00076FB3" w:rsidP="0013433C">
      <w:pPr>
        <w:pStyle w:val="Sinespaciado"/>
        <w:jc w:val="both"/>
        <w:rPr>
          <w:rFonts w:ascii="Trebuchet MS" w:hAnsi="Trebuchet MS"/>
          <w:sz w:val="26"/>
          <w:szCs w:val="26"/>
        </w:rPr>
      </w:pPr>
      <w:r>
        <w:rPr>
          <w:rFonts w:ascii="Trebuchet MS" w:hAnsi="Trebuchet MS"/>
          <w:sz w:val="26"/>
          <w:szCs w:val="26"/>
        </w:rPr>
        <w:t xml:space="preserve">En todos estos casos, </w:t>
      </w:r>
      <w:r w:rsidR="007C1EC2">
        <w:rPr>
          <w:rFonts w:ascii="Trebuchet MS" w:hAnsi="Trebuchet MS"/>
          <w:sz w:val="26"/>
          <w:szCs w:val="26"/>
        </w:rPr>
        <w:t xml:space="preserve">la sentencia declara que de </w:t>
      </w:r>
      <w:r w:rsidR="0094449A">
        <w:rPr>
          <w:rFonts w:ascii="Trebuchet MS" w:hAnsi="Trebuchet MS"/>
          <w:sz w:val="26"/>
          <w:szCs w:val="26"/>
        </w:rPr>
        <w:t>las fichas que recogen las funciones de los puestos y de la propia memoria de la RPT se desprende que es</w:t>
      </w:r>
      <w:r w:rsidR="007C1EC2">
        <w:rPr>
          <w:rFonts w:ascii="Trebuchet MS" w:hAnsi="Trebuchet MS"/>
          <w:sz w:val="26"/>
          <w:szCs w:val="26"/>
        </w:rPr>
        <w:t>tá plenamente justificada</w:t>
      </w:r>
      <w:r w:rsidR="0094449A">
        <w:rPr>
          <w:rFonts w:ascii="Trebuchet MS" w:hAnsi="Trebuchet MS"/>
          <w:sz w:val="26"/>
          <w:szCs w:val="26"/>
        </w:rPr>
        <w:t xml:space="preserve"> su utilización.</w:t>
      </w:r>
    </w:p>
    <w:p w:rsidR="00BF65D5" w:rsidRDefault="00BF65D5" w:rsidP="0013433C">
      <w:pPr>
        <w:pStyle w:val="Sinespaciado"/>
        <w:jc w:val="both"/>
        <w:rPr>
          <w:rFonts w:ascii="Trebuchet MS" w:hAnsi="Trebuchet MS"/>
          <w:sz w:val="26"/>
          <w:szCs w:val="26"/>
        </w:rPr>
      </w:pPr>
    </w:p>
    <w:p w:rsidR="007C1EC2" w:rsidRDefault="007C1EC2" w:rsidP="0013433C">
      <w:pPr>
        <w:pStyle w:val="Sinespaciado"/>
        <w:jc w:val="both"/>
        <w:rPr>
          <w:rFonts w:ascii="Trebuchet MS" w:hAnsi="Trebuchet MS"/>
          <w:sz w:val="26"/>
          <w:szCs w:val="26"/>
        </w:rPr>
      </w:pPr>
    </w:p>
    <w:p w:rsidR="0094449A" w:rsidRDefault="0094449A" w:rsidP="0013433C">
      <w:pPr>
        <w:pStyle w:val="Sinespaciado"/>
        <w:jc w:val="both"/>
        <w:rPr>
          <w:rFonts w:ascii="Trebuchet MS" w:hAnsi="Trebuchet MS"/>
          <w:sz w:val="26"/>
          <w:szCs w:val="26"/>
        </w:rPr>
      </w:pPr>
      <w:r>
        <w:rPr>
          <w:rFonts w:ascii="Trebuchet MS" w:hAnsi="Trebuchet MS"/>
          <w:sz w:val="26"/>
          <w:szCs w:val="26"/>
        </w:rPr>
        <w:lastRenderedPageBreak/>
        <w:t xml:space="preserve">Por último, </w:t>
      </w:r>
      <w:r w:rsidR="009073AA">
        <w:rPr>
          <w:rFonts w:ascii="Trebuchet MS" w:hAnsi="Trebuchet MS"/>
          <w:sz w:val="26"/>
          <w:szCs w:val="26"/>
        </w:rPr>
        <w:t>el Tribunal estima que es correcta la utilización indistinta de puestos para funcionarios y laborales (F/L) en la medida que los puestos sólo pueden ser desempeñados provisionalmente por laborales y en los términos que se describieron en la modificación puntual de la RPT, aprobada el 21 de enero de 2013, declarando la sentencia que esta modificación tiene plena cobertura legal. Por tanto, el alto tribunal andaluz considera en este punto que no ha existido “vulneración alguna cuando se permite sólo con carácter provisional el desempeño por el personal laboral que lo venía desarrollando”.</w:t>
      </w:r>
    </w:p>
    <w:p w:rsidR="00BF65D5" w:rsidRDefault="00BF65D5" w:rsidP="0013433C">
      <w:pPr>
        <w:pStyle w:val="Sinespaciado"/>
        <w:jc w:val="both"/>
        <w:rPr>
          <w:rFonts w:ascii="Trebuchet MS" w:hAnsi="Trebuchet MS"/>
          <w:sz w:val="26"/>
          <w:szCs w:val="26"/>
        </w:rPr>
      </w:pPr>
    </w:p>
    <w:p w:rsidR="00BF65D5" w:rsidRPr="000B4AE9" w:rsidRDefault="00BF65D5" w:rsidP="0013433C">
      <w:pPr>
        <w:pStyle w:val="Sinespaciado"/>
        <w:jc w:val="both"/>
        <w:rPr>
          <w:rFonts w:ascii="Trebuchet MS" w:hAnsi="Trebuchet MS"/>
          <w:sz w:val="26"/>
          <w:szCs w:val="26"/>
        </w:rPr>
      </w:pPr>
      <w:r>
        <w:rPr>
          <w:rFonts w:ascii="Trebuchet MS" w:hAnsi="Trebuchet MS"/>
          <w:sz w:val="26"/>
          <w:szCs w:val="26"/>
        </w:rPr>
        <w:t>El Gobierno destaca la importancia de esta sentencia “dada la utilidad que supone para el Ayuntamiento el poder disponer por primera vez de una RPT, siendo un hecho histórico que hasta ahora ningún Gobierno ha sido capaz de llevar a cabo y teniendo en cuenta que supone un paso fundamental en la organización del Ayuntamiento”.</w:t>
      </w:r>
    </w:p>
    <w:sectPr w:rsidR="00BF65D5" w:rsidRPr="000B4AE9" w:rsidSect="009D366D">
      <w:headerReference w:type="default" r:id="rId6"/>
      <w:footerReference w:type="default" r:id="rId7"/>
      <w:pgSz w:w="11906" w:h="16838"/>
      <w:pgMar w:top="1418" w:right="1700" w:bottom="1985" w:left="2835" w:header="709"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D6F" w:rsidRDefault="00571D6F">
      <w:r>
        <w:separator/>
      </w:r>
    </w:p>
  </w:endnote>
  <w:endnote w:type="continuationSeparator" w:id="0">
    <w:p w:rsidR="00571D6F" w:rsidRDefault="00571D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66D" w:rsidRDefault="00054B35">
    <w:pPr>
      <w:pStyle w:val="Piedepgin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5pt;height:70.2pt">
          <v:imagedata r:id="rId1" o:title="pi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D6F" w:rsidRDefault="00571D6F">
      <w:r>
        <w:separator/>
      </w:r>
    </w:p>
  </w:footnote>
  <w:footnote w:type="continuationSeparator" w:id="0">
    <w:p w:rsidR="00571D6F" w:rsidRDefault="00571D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66D" w:rsidRDefault="00CF736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6.15pt;margin-top:44.45pt;width:90.15pt;height:729pt;z-index:-251658752">
          <v:imagedata r:id="rId1" o:title="nota de prensa generica"/>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366D"/>
    <w:rsid w:val="00054B35"/>
    <w:rsid w:val="00076FB3"/>
    <w:rsid w:val="000B4AE9"/>
    <w:rsid w:val="0013433C"/>
    <w:rsid w:val="001A16CE"/>
    <w:rsid w:val="001F7ADE"/>
    <w:rsid w:val="00264906"/>
    <w:rsid w:val="003C58E2"/>
    <w:rsid w:val="00424F1B"/>
    <w:rsid w:val="004827C2"/>
    <w:rsid w:val="00485F05"/>
    <w:rsid w:val="004C56AD"/>
    <w:rsid w:val="004D47D3"/>
    <w:rsid w:val="00571D6F"/>
    <w:rsid w:val="006C05B7"/>
    <w:rsid w:val="006D7786"/>
    <w:rsid w:val="006F37E0"/>
    <w:rsid w:val="00726BDF"/>
    <w:rsid w:val="00735186"/>
    <w:rsid w:val="007C1EC2"/>
    <w:rsid w:val="00805955"/>
    <w:rsid w:val="00830C01"/>
    <w:rsid w:val="00833295"/>
    <w:rsid w:val="008B4784"/>
    <w:rsid w:val="009073AA"/>
    <w:rsid w:val="0092521E"/>
    <w:rsid w:val="0094449A"/>
    <w:rsid w:val="009769A3"/>
    <w:rsid w:val="009D366D"/>
    <w:rsid w:val="00AB14DA"/>
    <w:rsid w:val="00B4151E"/>
    <w:rsid w:val="00B64073"/>
    <w:rsid w:val="00B71B78"/>
    <w:rsid w:val="00B836AE"/>
    <w:rsid w:val="00BF65D5"/>
    <w:rsid w:val="00C90698"/>
    <w:rsid w:val="00CE0ACB"/>
    <w:rsid w:val="00CF7364"/>
    <w:rsid w:val="00DC1F86"/>
    <w:rsid w:val="00E531D5"/>
    <w:rsid w:val="00E96C39"/>
    <w:rsid w:val="00F60173"/>
    <w:rsid w:val="00F94E0B"/>
    <w:rsid w:val="00FD6F9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6D"/>
    <w:rPr>
      <w:rFonts w:ascii="Tahoma" w:eastAsia="Times New Roman" w:hAnsi="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9D366D"/>
    <w:pPr>
      <w:tabs>
        <w:tab w:val="center" w:pos="4252"/>
        <w:tab w:val="right" w:pos="8504"/>
      </w:tabs>
    </w:pPr>
  </w:style>
  <w:style w:type="character" w:customStyle="1" w:styleId="EncabezadoCar">
    <w:name w:val="Encabezado Car"/>
    <w:basedOn w:val="Fuentedeprrafopredeter"/>
    <w:link w:val="Encabezado"/>
    <w:semiHidden/>
    <w:rsid w:val="009D366D"/>
    <w:rPr>
      <w:rFonts w:ascii="Tahoma" w:eastAsia="Times New Roman" w:hAnsi="Tahoma" w:cs="Times New Roman"/>
      <w:sz w:val="24"/>
      <w:szCs w:val="20"/>
      <w:lang w:eastAsia="es-ES"/>
    </w:rPr>
  </w:style>
  <w:style w:type="paragraph" w:styleId="Piedepgina">
    <w:name w:val="footer"/>
    <w:basedOn w:val="Normal"/>
    <w:link w:val="PiedepginaCar"/>
    <w:semiHidden/>
    <w:rsid w:val="009D366D"/>
    <w:pPr>
      <w:tabs>
        <w:tab w:val="center" w:pos="4252"/>
        <w:tab w:val="right" w:pos="8504"/>
      </w:tabs>
    </w:pPr>
  </w:style>
  <w:style w:type="character" w:customStyle="1" w:styleId="PiedepginaCar">
    <w:name w:val="Pie de página Car"/>
    <w:basedOn w:val="Fuentedeprrafopredeter"/>
    <w:link w:val="Piedepgina"/>
    <w:semiHidden/>
    <w:rsid w:val="009D366D"/>
    <w:rPr>
      <w:rFonts w:ascii="Tahoma" w:eastAsia="Times New Roman" w:hAnsi="Tahoma" w:cs="Times New Roman"/>
      <w:sz w:val="24"/>
      <w:szCs w:val="20"/>
      <w:lang w:eastAsia="es-ES"/>
    </w:rPr>
  </w:style>
  <w:style w:type="paragraph" w:styleId="Textodebloque">
    <w:name w:val="Block Text"/>
    <w:basedOn w:val="Normal"/>
    <w:rsid w:val="009D366D"/>
    <w:pPr>
      <w:ind w:left="567" w:right="-285"/>
    </w:pPr>
    <w:rPr>
      <w:rFonts w:ascii="Helvetica" w:hAnsi="Helvetica"/>
      <w:color w:val="181512"/>
      <w:sz w:val="36"/>
      <w:lang w:val="es-ES_tradnl"/>
    </w:rPr>
  </w:style>
  <w:style w:type="paragraph" w:styleId="Sinespaciado">
    <w:name w:val="No Spacing"/>
    <w:uiPriority w:val="1"/>
    <w:qFormat/>
    <w:rsid w:val="009D366D"/>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1007</Words>
  <Characters>5540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Jesytel</Company>
  <LinksUpToDate>false</LinksUpToDate>
  <CharactersWithSpaces>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cjimenez</dc:creator>
  <cp:lastModifiedBy>RSAEZA</cp:lastModifiedBy>
  <cp:revision>3</cp:revision>
  <dcterms:created xsi:type="dcterms:W3CDTF">2014-02-19T12:58:00Z</dcterms:created>
  <dcterms:modified xsi:type="dcterms:W3CDTF">2014-02-19T13:34:00Z</dcterms:modified>
</cp:coreProperties>
</file>